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kern w:val="2"/>
          <w:sz w:val="22"/>
          <w:szCs w:val="22"/>
          <w:lang w:eastAsia="en-US"/>
          <w14:ligatures w14:val="standardContextual"/>
        </w:rPr>
        <w:id w:val="-16512062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1B21EBE" w14:textId="571EAC73" w:rsidR="007203CA" w:rsidRDefault="007203CA" w:rsidP="007203CA">
          <w:pPr>
            <w:pStyle w:val="SOP"/>
          </w:pPr>
          <w:r>
            <w:t>Inhaltsverzeichnis</w:t>
          </w:r>
        </w:p>
        <w:p w14:paraId="6C6AC2FB" w14:textId="1B104BBE" w:rsidR="00B64F02" w:rsidRDefault="007203C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730155" w:history="1">
            <w:r w:rsidR="00B64F02" w:rsidRPr="00F62368">
              <w:rPr>
                <w:rStyle w:val="Hyperlink"/>
                <w:noProof/>
              </w:rPr>
              <w:t>1.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Einleitung/ Zielsetzung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_Toc144730155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1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56C71849" w14:textId="70C79BE8" w:rsidR="00B64F02" w:rsidRDefault="000221E2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56" w:history="1">
            <w:r w:rsidR="00B64F02" w:rsidRPr="00F62368">
              <w:rPr>
                <w:rStyle w:val="Hyperlink"/>
                <w:noProof/>
              </w:rPr>
              <w:t>2.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Abkürzungen und Begriffe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_Toc144730156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1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2EFB8129" w14:textId="143F0595" w:rsidR="00B64F02" w:rsidRDefault="000221E2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57" w:history="1">
            <w:r w:rsidR="00B64F02" w:rsidRPr="00F62368">
              <w:rPr>
                <w:rStyle w:val="Hyperlink"/>
                <w:noProof/>
              </w:rPr>
              <w:t>2.1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Abkürzungen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_Toc144730157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1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0196D72B" w14:textId="7C18639D" w:rsidR="00B64F02" w:rsidRDefault="000221E2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58" w:history="1">
            <w:r w:rsidR="00B64F02" w:rsidRPr="00F62368">
              <w:rPr>
                <w:rStyle w:val="Hyperlink"/>
                <w:noProof/>
              </w:rPr>
              <w:t>2.2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Begriffe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_Toc144730158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1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12C934DC" w14:textId="016AAC9C" w:rsidR="00B64F02" w:rsidRDefault="000221E2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59" w:history="1">
            <w:r w:rsidR="00B64F02" w:rsidRPr="00F62368">
              <w:rPr>
                <w:rStyle w:val="Hyperlink"/>
                <w:noProof/>
              </w:rPr>
              <w:t>3.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Grundlagen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_Toc144730159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2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4BFDA427" w14:textId="5CCD74C9" w:rsidR="00B64F02" w:rsidRDefault="000221E2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60" w:history="1">
            <w:r w:rsidR="00B64F02" w:rsidRPr="00F62368">
              <w:rPr>
                <w:rStyle w:val="Hyperlink"/>
                <w:noProof/>
              </w:rPr>
              <w:t>4.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Zuständigkeit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_Toc144730160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2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5C8F5567" w14:textId="529014C2" w:rsidR="00B64F02" w:rsidRDefault="000221E2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61" w:history="1">
            <w:r w:rsidR="00B64F02" w:rsidRPr="00F62368">
              <w:rPr>
                <w:rStyle w:val="Hyperlink"/>
                <w:noProof/>
              </w:rPr>
              <w:t>5.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Prozessbeschreibung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_Toc144730161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2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01CC41DD" w14:textId="4EC7B00E" w:rsidR="00B64F02" w:rsidRDefault="000221E2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62" w:history="1">
            <w:r w:rsidR="00B64F02" w:rsidRPr="00F62368">
              <w:rPr>
                <w:rStyle w:val="Hyperlink"/>
                <w:noProof/>
              </w:rPr>
              <w:t>5.1 Studienkoordinator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_Toc144730162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3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14076EEA" w14:textId="32F54CC0" w:rsidR="00B64F02" w:rsidRDefault="000221E2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63" w:history="1">
            <w:r w:rsidR="00B64F02" w:rsidRPr="00F62368">
              <w:rPr>
                <w:rStyle w:val="Hyperlink"/>
                <w:noProof/>
              </w:rPr>
              <w:t>5.2 PI/ Prüfarzt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_Toc144730163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3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7C36C041" w14:textId="7872825C" w:rsidR="00B64F02" w:rsidRDefault="000221E2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144730164" w:history="1">
            <w:r w:rsidR="00B64F02" w:rsidRPr="00F62368">
              <w:rPr>
                <w:rStyle w:val="Hyperlink"/>
                <w:noProof/>
              </w:rPr>
              <w:t>6.</w:t>
            </w:r>
            <w:r w:rsidR="00B64F02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64F02" w:rsidRPr="00F62368">
              <w:rPr>
                <w:rStyle w:val="Hyperlink"/>
                <w:noProof/>
              </w:rPr>
              <w:t>Änderungshistorie</w:t>
            </w:r>
            <w:r w:rsidR="00B64F02">
              <w:rPr>
                <w:noProof/>
                <w:webHidden/>
              </w:rPr>
              <w:tab/>
            </w:r>
            <w:r w:rsidR="00B64F02">
              <w:rPr>
                <w:noProof/>
                <w:webHidden/>
              </w:rPr>
              <w:fldChar w:fldCharType="begin"/>
            </w:r>
            <w:r w:rsidR="00B64F02">
              <w:rPr>
                <w:noProof/>
                <w:webHidden/>
              </w:rPr>
              <w:instrText xml:space="preserve"> PAGEREF _Toc144730164 \h </w:instrText>
            </w:r>
            <w:r w:rsidR="00B64F02">
              <w:rPr>
                <w:noProof/>
                <w:webHidden/>
              </w:rPr>
            </w:r>
            <w:r w:rsidR="00B64F02">
              <w:rPr>
                <w:noProof/>
                <w:webHidden/>
              </w:rPr>
              <w:fldChar w:fldCharType="separate"/>
            </w:r>
            <w:r w:rsidR="00B64F02">
              <w:rPr>
                <w:noProof/>
                <w:webHidden/>
              </w:rPr>
              <w:t>4</w:t>
            </w:r>
            <w:r w:rsidR="00B64F02">
              <w:rPr>
                <w:noProof/>
                <w:webHidden/>
              </w:rPr>
              <w:fldChar w:fldCharType="end"/>
            </w:r>
          </w:hyperlink>
        </w:p>
        <w:p w14:paraId="69523710" w14:textId="5B7A65C3" w:rsidR="007203CA" w:rsidRDefault="007203CA">
          <w:r>
            <w:rPr>
              <w:b/>
              <w:bCs/>
            </w:rPr>
            <w:fldChar w:fldCharType="end"/>
          </w:r>
        </w:p>
      </w:sdtContent>
    </w:sdt>
    <w:p w14:paraId="2E69AC35" w14:textId="194EDE32" w:rsidR="000903BC" w:rsidRDefault="000903BC" w:rsidP="000903BC">
      <w:pPr>
        <w:pStyle w:val="berschrift1"/>
        <w:numPr>
          <w:ilvl w:val="0"/>
          <w:numId w:val="2"/>
        </w:numPr>
      </w:pPr>
      <w:bookmarkStart w:id="0" w:name="_Toc144730155"/>
      <w:r>
        <w:t>Einleitung/ Zielsetzung</w:t>
      </w:r>
      <w:bookmarkEnd w:id="0"/>
    </w:p>
    <w:p w14:paraId="45235291" w14:textId="4A10E6EF" w:rsidR="004D0CB6" w:rsidRPr="004D0CB6" w:rsidRDefault="004D0CB6" w:rsidP="004D0CB6">
      <w:pPr>
        <w:pStyle w:val="KeinLeerraum"/>
      </w:pPr>
      <w:r>
        <w:t>Diese SOP legt fest, wie Meldungen von</w:t>
      </w:r>
      <w:r w:rsidR="00BC4239" w:rsidRPr="00BC4239">
        <w:t xml:space="preserve"> Adverse Event</w:t>
      </w:r>
      <w:r w:rsidR="00BC4239">
        <w:t>s</w:t>
      </w:r>
      <w:r>
        <w:t xml:space="preserve"> </w:t>
      </w:r>
      <w:r w:rsidR="00BC4239">
        <w:t>(</w:t>
      </w:r>
      <w:r>
        <w:t>AEs</w:t>
      </w:r>
      <w:r w:rsidR="00BC4239">
        <w:t>)</w:t>
      </w:r>
      <w:r w:rsidR="007B0738">
        <w:t>,</w:t>
      </w:r>
      <w:r w:rsidR="00BC4239" w:rsidRPr="00BC4239">
        <w:t xml:space="preserve"> </w:t>
      </w:r>
      <w:proofErr w:type="spellStart"/>
      <w:r w:rsidR="00BC4239" w:rsidRPr="00BC4239">
        <w:t>Serious</w:t>
      </w:r>
      <w:proofErr w:type="spellEnd"/>
      <w:r w:rsidR="00BC4239" w:rsidRPr="00BC4239">
        <w:t xml:space="preserve"> Adverse Event</w:t>
      </w:r>
      <w:r w:rsidR="00BC4239">
        <w:t>s</w:t>
      </w:r>
      <w:r>
        <w:t xml:space="preserve"> </w:t>
      </w:r>
      <w:r w:rsidR="00BC4239">
        <w:t>(</w:t>
      </w:r>
      <w:r>
        <w:t>SAEs</w:t>
      </w:r>
      <w:r w:rsidR="00BC4239">
        <w:t>)</w:t>
      </w:r>
      <w:r w:rsidR="007B0738">
        <w:t xml:space="preserve"> und Adverse Event </w:t>
      </w:r>
      <w:proofErr w:type="spellStart"/>
      <w:r w:rsidR="007B0738">
        <w:t>of</w:t>
      </w:r>
      <w:proofErr w:type="spellEnd"/>
      <w:r w:rsidR="007B0738">
        <w:t xml:space="preserve"> Special Interest (AESI)</w:t>
      </w:r>
      <w:r>
        <w:t xml:space="preserve"> durchzuführen sind. Mitarbeiter sollen in der Lage sein, Meldung von AEs</w:t>
      </w:r>
      <w:r w:rsidR="00BC4239">
        <w:t xml:space="preserve"> </w:t>
      </w:r>
      <w:r>
        <w:t>und SAEs</w:t>
      </w:r>
      <w:r w:rsidR="00120A11">
        <w:t xml:space="preserve"> korrekt</w:t>
      </w:r>
      <w:r w:rsidR="00BC4239">
        <w:t xml:space="preserve"> und</w:t>
      </w:r>
      <w:r>
        <w:t xml:space="preserve"> eigenverantwortlich durchzuführen. </w:t>
      </w:r>
    </w:p>
    <w:p w14:paraId="2C6DF66C" w14:textId="77777777" w:rsidR="000903BC" w:rsidRDefault="000903BC" w:rsidP="000903BC">
      <w:pPr>
        <w:pStyle w:val="KeinLeerraum"/>
      </w:pPr>
    </w:p>
    <w:p w14:paraId="5DE37837" w14:textId="725C42CE" w:rsidR="000903BC" w:rsidRDefault="000903BC" w:rsidP="000903BC">
      <w:pPr>
        <w:pStyle w:val="berschrift1"/>
        <w:numPr>
          <w:ilvl w:val="0"/>
          <w:numId w:val="2"/>
        </w:numPr>
      </w:pPr>
      <w:bookmarkStart w:id="1" w:name="_Toc144730156"/>
      <w:r>
        <w:t>Abkürzungen</w:t>
      </w:r>
      <w:r w:rsidR="00BC4239">
        <w:t xml:space="preserve"> und</w:t>
      </w:r>
      <w:r w:rsidR="00BC4239" w:rsidRPr="00BC4239">
        <w:t xml:space="preserve"> </w:t>
      </w:r>
      <w:r w:rsidR="00BC4239">
        <w:t>Begriffe</w:t>
      </w:r>
      <w:bookmarkEnd w:id="1"/>
    </w:p>
    <w:p w14:paraId="125D8C4A" w14:textId="77777777" w:rsidR="00BC4239" w:rsidRDefault="00BC4239" w:rsidP="00BC4239">
      <w:pPr>
        <w:pStyle w:val="berschrift2"/>
        <w:numPr>
          <w:ilvl w:val="1"/>
          <w:numId w:val="2"/>
        </w:numPr>
      </w:pPr>
      <w:bookmarkStart w:id="2" w:name="_Toc144730157"/>
      <w:r>
        <w:t>Abkürzungen</w:t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C4239" w14:paraId="64E30599" w14:textId="77777777" w:rsidTr="008D4C33">
        <w:tc>
          <w:tcPr>
            <w:tcW w:w="1413" w:type="dxa"/>
            <w:tcBorders>
              <w:bottom w:val="single" w:sz="4" w:space="0" w:color="auto"/>
            </w:tcBorders>
          </w:tcPr>
          <w:p w14:paraId="29DBB678" w14:textId="77777777" w:rsidR="00BC4239" w:rsidRPr="00BA7754" w:rsidRDefault="00BC4239" w:rsidP="008D4C33">
            <w:pPr>
              <w:pStyle w:val="KeinLeerraum"/>
              <w:rPr>
                <w:b/>
                <w:bCs/>
              </w:rPr>
            </w:pPr>
            <w:r w:rsidRPr="00BA7754">
              <w:rPr>
                <w:b/>
                <w:bCs/>
              </w:rPr>
              <w:t>Abkürzung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6CF3ED49" w14:textId="77777777" w:rsidR="00BC4239" w:rsidRPr="00BA7754" w:rsidRDefault="00BC4239" w:rsidP="008D4C33">
            <w:pPr>
              <w:pStyle w:val="KeinLeerraum"/>
              <w:rPr>
                <w:b/>
                <w:bCs/>
              </w:rPr>
            </w:pPr>
            <w:r w:rsidRPr="00BA7754">
              <w:rPr>
                <w:b/>
                <w:bCs/>
              </w:rPr>
              <w:t>Bedeutung</w:t>
            </w:r>
          </w:p>
        </w:tc>
      </w:tr>
      <w:tr w:rsidR="00BC4239" w14:paraId="284AB937" w14:textId="77777777" w:rsidTr="008D4C33">
        <w:tc>
          <w:tcPr>
            <w:tcW w:w="1413" w:type="dxa"/>
            <w:tcBorders>
              <w:top w:val="single" w:sz="4" w:space="0" w:color="auto"/>
            </w:tcBorders>
          </w:tcPr>
          <w:p w14:paraId="745AB6FD" w14:textId="77777777" w:rsidR="00BC4239" w:rsidRDefault="00BC4239" w:rsidP="008D4C33">
            <w:pPr>
              <w:pStyle w:val="KeinLeerraum"/>
              <w:jc w:val="center"/>
            </w:pPr>
            <w:r>
              <w:t>AEs</w:t>
            </w: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572B0424" w14:textId="4A6B37BF" w:rsidR="00BC4239" w:rsidRDefault="00BC4239" w:rsidP="008D4C33">
            <w:pPr>
              <w:pStyle w:val="KeinLeerraum"/>
            </w:pPr>
            <w:r>
              <w:t>Adverse Events</w:t>
            </w:r>
            <w:r w:rsidR="007B0738">
              <w:t xml:space="preserve"> (dt. unerwünschte Ereignisse</w:t>
            </w:r>
            <w:r>
              <w:t>)</w:t>
            </w:r>
          </w:p>
        </w:tc>
      </w:tr>
      <w:tr w:rsidR="00BC4239" w14:paraId="0C25A33A" w14:textId="77777777" w:rsidTr="008D4C33">
        <w:tc>
          <w:tcPr>
            <w:tcW w:w="1413" w:type="dxa"/>
            <w:tcBorders>
              <w:top w:val="single" w:sz="4" w:space="0" w:color="auto"/>
            </w:tcBorders>
          </w:tcPr>
          <w:p w14:paraId="55B0282E" w14:textId="77777777" w:rsidR="00BC4239" w:rsidRDefault="00BC4239" w:rsidP="008D4C33">
            <w:pPr>
              <w:pStyle w:val="KeinLeerraum"/>
              <w:jc w:val="center"/>
            </w:pPr>
            <w:r w:rsidRPr="002A6CE1">
              <w:t>AESI</w:t>
            </w: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62024533" w14:textId="7DD1353A" w:rsidR="00BC4239" w:rsidRDefault="00BC4239" w:rsidP="008D4C33">
            <w:pPr>
              <w:pStyle w:val="KeinLeerraum"/>
            </w:pPr>
            <w:r w:rsidRPr="002A6CE1">
              <w:t xml:space="preserve">Adverse Event </w:t>
            </w:r>
            <w:proofErr w:type="spellStart"/>
            <w:r w:rsidRPr="002A6CE1">
              <w:t>of</w:t>
            </w:r>
            <w:proofErr w:type="spellEnd"/>
            <w:r w:rsidRPr="002A6CE1">
              <w:t xml:space="preserve"> Special Interest</w:t>
            </w:r>
            <w:r w:rsidR="007B0738">
              <w:t xml:space="preserve"> (dt. unerwünschte Ereignisse von besonderem Interesse)</w:t>
            </w:r>
          </w:p>
        </w:tc>
      </w:tr>
      <w:tr w:rsidR="00BC4239" w:rsidRPr="00385CE6" w14:paraId="67637E2B" w14:textId="77777777" w:rsidTr="008D4C33">
        <w:tc>
          <w:tcPr>
            <w:tcW w:w="1413" w:type="dxa"/>
          </w:tcPr>
          <w:p w14:paraId="1AF3988D" w14:textId="6A650A34" w:rsidR="00BC4239" w:rsidRDefault="00BC4239" w:rsidP="008D4C33">
            <w:pPr>
              <w:pStyle w:val="KeinLeerraum"/>
              <w:jc w:val="center"/>
            </w:pPr>
            <w:r w:rsidRPr="00BA7754">
              <w:t>CTC</w:t>
            </w:r>
            <w:r w:rsidR="003B1906">
              <w:t>AE</w:t>
            </w:r>
          </w:p>
        </w:tc>
        <w:tc>
          <w:tcPr>
            <w:tcW w:w="7649" w:type="dxa"/>
          </w:tcPr>
          <w:p w14:paraId="0E3020B5" w14:textId="77777777" w:rsidR="00BC4239" w:rsidRPr="00FD3222" w:rsidRDefault="00BC4239" w:rsidP="008D4C33">
            <w:pPr>
              <w:pStyle w:val="KeinLeerraum"/>
              <w:rPr>
                <w:lang w:val="en-US"/>
              </w:rPr>
            </w:pPr>
            <w:r w:rsidRPr="00BA7754">
              <w:rPr>
                <w:lang w:val="en-US"/>
              </w:rPr>
              <w:t>Common Terminology Criteria for Adverse Events</w:t>
            </w:r>
          </w:p>
        </w:tc>
      </w:tr>
      <w:tr w:rsidR="00AB5E88" w14:paraId="4EBF8D33" w14:textId="77777777" w:rsidTr="008D4C33">
        <w:tc>
          <w:tcPr>
            <w:tcW w:w="1413" w:type="dxa"/>
          </w:tcPr>
          <w:p w14:paraId="4293F8DB" w14:textId="57BF6DA4" w:rsidR="00AB5E88" w:rsidRPr="00BA7754" w:rsidRDefault="00AB5E88" w:rsidP="008D4C33">
            <w:pPr>
              <w:pStyle w:val="KeinLeerraum"/>
              <w:jc w:val="center"/>
            </w:pPr>
            <w:proofErr w:type="spellStart"/>
            <w:r>
              <w:t>eCRF</w:t>
            </w:r>
            <w:proofErr w:type="spellEnd"/>
          </w:p>
        </w:tc>
        <w:tc>
          <w:tcPr>
            <w:tcW w:w="7649" w:type="dxa"/>
          </w:tcPr>
          <w:p w14:paraId="41BEC605" w14:textId="0649FB7E" w:rsidR="00AB5E88" w:rsidRPr="00BA7754" w:rsidRDefault="00AB5E88" w:rsidP="008D4C33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Electronic Case Report Form</w:t>
            </w:r>
          </w:p>
        </w:tc>
      </w:tr>
      <w:tr w:rsidR="00BC4239" w14:paraId="2C4B516F" w14:textId="77777777" w:rsidTr="008D4C33">
        <w:tc>
          <w:tcPr>
            <w:tcW w:w="1413" w:type="dxa"/>
          </w:tcPr>
          <w:p w14:paraId="6EEC1D39" w14:textId="77777777" w:rsidR="00BC4239" w:rsidRPr="00BA7754" w:rsidRDefault="00BC4239" w:rsidP="008D4C33">
            <w:pPr>
              <w:pStyle w:val="KeinLeerraum"/>
              <w:jc w:val="center"/>
            </w:pPr>
            <w:r>
              <w:t>EDC</w:t>
            </w:r>
          </w:p>
        </w:tc>
        <w:tc>
          <w:tcPr>
            <w:tcW w:w="7649" w:type="dxa"/>
          </w:tcPr>
          <w:p w14:paraId="7329F93B" w14:textId="77777777" w:rsidR="00BC4239" w:rsidRPr="00BA7754" w:rsidRDefault="00BC4239" w:rsidP="008D4C33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Electronic Data Capture</w:t>
            </w:r>
          </w:p>
        </w:tc>
      </w:tr>
      <w:tr w:rsidR="00A510B2" w14:paraId="7CA30C70" w14:textId="77777777" w:rsidTr="008D4C33">
        <w:tc>
          <w:tcPr>
            <w:tcW w:w="1413" w:type="dxa"/>
          </w:tcPr>
          <w:p w14:paraId="667C6420" w14:textId="067946B7" w:rsidR="00A510B2" w:rsidRPr="00A96D3B" w:rsidRDefault="00A510B2" w:rsidP="008D4C33">
            <w:pPr>
              <w:pStyle w:val="KeinLeerraum"/>
              <w:jc w:val="center"/>
            </w:pPr>
            <w:r w:rsidRPr="00A96D3B">
              <w:rPr>
                <w:rFonts w:cs="Arial"/>
                <w:color w:val="000000"/>
                <w:shd w:val="clear" w:color="auto" w:fill="FFFFFF"/>
              </w:rPr>
              <w:t>IB</w:t>
            </w:r>
          </w:p>
        </w:tc>
        <w:tc>
          <w:tcPr>
            <w:tcW w:w="7649" w:type="dxa"/>
          </w:tcPr>
          <w:p w14:paraId="4D1A14F6" w14:textId="689F03F6" w:rsidR="00A510B2" w:rsidRPr="00A96D3B" w:rsidRDefault="00A510B2" w:rsidP="008D4C33">
            <w:pPr>
              <w:pStyle w:val="KeinLeerraum"/>
            </w:pPr>
            <w:r w:rsidRPr="00A96D3B">
              <w:t xml:space="preserve">Investigator </w:t>
            </w:r>
            <w:proofErr w:type="spellStart"/>
            <w:r w:rsidRPr="00A96D3B">
              <w:t>Brochure</w:t>
            </w:r>
            <w:proofErr w:type="spellEnd"/>
            <w:r w:rsidRPr="00A96D3B">
              <w:t>/ Prüferinformation</w:t>
            </w:r>
          </w:p>
        </w:tc>
      </w:tr>
      <w:tr w:rsidR="00BC4239" w14:paraId="6FB74107" w14:textId="77777777" w:rsidTr="008D4C33">
        <w:tc>
          <w:tcPr>
            <w:tcW w:w="1413" w:type="dxa"/>
          </w:tcPr>
          <w:p w14:paraId="6F059C97" w14:textId="77777777" w:rsidR="00BC4239" w:rsidRDefault="00BC4239" w:rsidP="008D4C33">
            <w:pPr>
              <w:pStyle w:val="KeinLeerraum"/>
              <w:jc w:val="center"/>
            </w:pPr>
            <w:r>
              <w:t>IMP</w:t>
            </w:r>
          </w:p>
        </w:tc>
        <w:tc>
          <w:tcPr>
            <w:tcW w:w="7649" w:type="dxa"/>
          </w:tcPr>
          <w:p w14:paraId="45552D4A" w14:textId="77777777" w:rsidR="00BC4239" w:rsidRDefault="00BC4239" w:rsidP="008D4C33">
            <w:pPr>
              <w:pStyle w:val="KeinLeerraum"/>
            </w:pPr>
            <w:proofErr w:type="spellStart"/>
            <w:r>
              <w:t>Investigational</w:t>
            </w:r>
            <w:proofErr w:type="spellEnd"/>
            <w:r>
              <w:t xml:space="preserve"> </w:t>
            </w:r>
            <w:proofErr w:type="spellStart"/>
            <w:r>
              <w:t>Medicinal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</w:p>
        </w:tc>
      </w:tr>
      <w:tr w:rsidR="00BC4239" w14:paraId="27469C70" w14:textId="77777777" w:rsidTr="008D4C33">
        <w:tc>
          <w:tcPr>
            <w:tcW w:w="1413" w:type="dxa"/>
          </w:tcPr>
          <w:p w14:paraId="64469EE1" w14:textId="77777777" w:rsidR="00BC4239" w:rsidRDefault="00BC4239" w:rsidP="008D4C33">
            <w:pPr>
              <w:pStyle w:val="KeinLeerraum"/>
              <w:jc w:val="center"/>
            </w:pPr>
            <w:r>
              <w:t>PI</w:t>
            </w:r>
          </w:p>
        </w:tc>
        <w:tc>
          <w:tcPr>
            <w:tcW w:w="7649" w:type="dxa"/>
          </w:tcPr>
          <w:p w14:paraId="044A08F7" w14:textId="77777777" w:rsidR="00BC4239" w:rsidRDefault="00BC4239" w:rsidP="008D4C33">
            <w:pPr>
              <w:pStyle w:val="KeinLeerraum"/>
            </w:pPr>
            <w:proofErr w:type="spellStart"/>
            <w:r>
              <w:t>Principal</w:t>
            </w:r>
            <w:proofErr w:type="spellEnd"/>
            <w:r>
              <w:t xml:space="preserve"> Investigator</w:t>
            </w:r>
          </w:p>
        </w:tc>
      </w:tr>
      <w:tr w:rsidR="00BC4239" w14:paraId="01972823" w14:textId="77777777" w:rsidTr="008D4C33">
        <w:tc>
          <w:tcPr>
            <w:tcW w:w="1413" w:type="dxa"/>
          </w:tcPr>
          <w:p w14:paraId="5AEC2AB6" w14:textId="77777777" w:rsidR="00BC4239" w:rsidRDefault="00BC4239" w:rsidP="008D4C33">
            <w:pPr>
              <w:pStyle w:val="KeinLeerraum"/>
              <w:jc w:val="center"/>
            </w:pPr>
            <w:r>
              <w:t>PZ</w:t>
            </w:r>
          </w:p>
        </w:tc>
        <w:tc>
          <w:tcPr>
            <w:tcW w:w="7649" w:type="dxa"/>
          </w:tcPr>
          <w:p w14:paraId="312F6089" w14:textId="77777777" w:rsidR="00BC4239" w:rsidRDefault="00BC4239" w:rsidP="008D4C33">
            <w:pPr>
              <w:pStyle w:val="KeinLeerraum"/>
            </w:pPr>
            <w:r>
              <w:t>Prüfzentrum</w:t>
            </w:r>
          </w:p>
        </w:tc>
      </w:tr>
      <w:tr w:rsidR="00A510B2" w14:paraId="2F9F8D8E" w14:textId="77777777" w:rsidTr="008D4C33">
        <w:tc>
          <w:tcPr>
            <w:tcW w:w="1413" w:type="dxa"/>
          </w:tcPr>
          <w:p w14:paraId="18DC9A46" w14:textId="5A232D76" w:rsidR="00A510B2" w:rsidRDefault="00A510B2" w:rsidP="00A510B2">
            <w:pPr>
              <w:pStyle w:val="KeinLeerraum"/>
              <w:jc w:val="center"/>
            </w:pPr>
            <w:r>
              <w:t>SAEs</w:t>
            </w:r>
          </w:p>
        </w:tc>
        <w:tc>
          <w:tcPr>
            <w:tcW w:w="7649" w:type="dxa"/>
          </w:tcPr>
          <w:p w14:paraId="621736D6" w14:textId="487C44AD" w:rsidR="00A510B2" w:rsidRDefault="00A510B2" w:rsidP="00A510B2">
            <w:pPr>
              <w:pStyle w:val="KeinLeerraum"/>
            </w:pPr>
            <w:proofErr w:type="spellStart"/>
            <w:r>
              <w:t>Serious</w:t>
            </w:r>
            <w:proofErr w:type="spellEnd"/>
            <w:r>
              <w:t xml:space="preserve"> Adverse Events</w:t>
            </w:r>
            <w:r w:rsidR="007B0738">
              <w:t xml:space="preserve"> (dt. schwerwiegende unerwünschte Ereignisse</w:t>
            </w:r>
            <w:r>
              <w:t>)</w:t>
            </w:r>
          </w:p>
        </w:tc>
      </w:tr>
    </w:tbl>
    <w:p w14:paraId="278E1F90" w14:textId="77777777" w:rsidR="00BC4239" w:rsidRPr="00BC4239" w:rsidRDefault="00BC4239" w:rsidP="00BC4239">
      <w:pPr>
        <w:pStyle w:val="KeinLeerraum"/>
      </w:pPr>
    </w:p>
    <w:p w14:paraId="14097021" w14:textId="72EB1D96" w:rsidR="004D0CB6" w:rsidRDefault="004D0CB6" w:rsidP="00120A11">
      <w:pPr>
        <w:pStyle w:val="berschrift2"/>
        <w:numPr>
          <w:ilvl w:val="1"/>
          <w:numId w:val="2"/>
        </w:numPr>
      </w:pPr>
      <w:bookmarkStart w:id="3" w:name="_Toc144730158"/>
      <w:r>
        <w:t>Begriffe</w:t>
      </w:r>
      <w:bookmarkEnd w:id="3"/>
    </w:p>
    <w:p w14:paraId="6B9F9B4E" w14:textId="6D387087" w:rsidR="005D6589" w:rsidRDefault="00C56EAC" w:rsidP="007B5D5D">
      <w:pPr>
        <w:pStyle w:val="KeinLeerraum"/>
        <w:ind w:left="360"/>
      </w:pPr>
      <w:r w:rsidRPr="00C56EAC">
        <w:rPr>
          <w:u w:val="single"/>
        </w:rPr>
        <w:t>AEs</w:t>
      </w:r>
      <w:r>
        <w:t xml:space="preserve">: </w:t>
      </w:r>
      <w:r w:rsidRPr="00C56EAC">
        <w:t xml:space="preserve">Jedes unerwünschte medizinische Ereignis, </w:t>
      </w:r>
      <w:r w:rsidR="005D6589" w:rsidRPr="005D6589">
        <w:t xml:space="preserve">das bei einem Patienten oder bei einem Teilnehmer an einer klinischen Prüfung nach Verabreichung eines Arzneimittels auftritt und das nicht unbedingt in ursächlichem Zusammenhang mit dieser Behandlung steht. Ein </w:t>
      </w:r>
      <w:r w:rsidR="007B0738">
        <w:t>A</w:t>
      </w:r>
      <w:r w:rsidR="005D6589" w:rsidRPr="005D6589">
        <w:t>E kann daher jede ungünstige und unbeabsichtigte Reaktion (einschließlich eines ano</w:t>
      </w:r>
      <w:r w:rsidR="007B0738">
        <w:t>r</w:t>
      </w:r>
      <w:r w:rsidR="005D6589" w:rsidRPr="005D6589">
        <w:t>malen Laborbefundes</w:t>
      </w:r>
      <w:r w:rsidR="005D6589" w:rsidRPr="00A96D3B">
        <w:t xml:space="preserve">), </w:t>
      </w:r>
      <w:r w:rsidR="007B5D5D" w:rsidRPr="00A96D3B">
        <w:t xml:space="preserve">jede Verschlechterung einer bereits vorbestehenden Erkrankung, </w:t>
      </w:r>
      <w:r w:rsidR="005D6589" w:rsidRPr="00A96D3B">
        <w:t xml:space="preserve">jedes Symptom oder jede vorübergehend mit der Verabreichung eines Arzneimittels (hier: eines Prüfpräparates) einhergehende Erkrankung sein, ob diese nun mit dem Prüfpräparat in </w:t>
      </w:r>
      <w:r w:rsidR="005D6589" w:rsidRPr="00A96D3B">
        <w:lastRenderedPageBreak/>
        <w:t>Zusammenhang stehen oder nicht.</w:t>
      </w:r>
      <w:r w:rsidR="007B5D5D" w:rsidRPr="00A96D3B">
        <w:t xml:space="preserve"> Aber auch scheinbar mit der Prüfmedikation unzusammenhängende Krankheitszustände: z.B. Verletzungen oder Unfälle.</w:t>
      </w:r>
      <w:r w:rsidR="007B5D5D">
        <w:t xml:space="preserve"> </w:t>
      </w:r>
    </w:p>
    <w:p w14:paraId="28E9FDE9" w14:textId="77777777" w:rsidR="001D3296" w:rsidRDefault="001D3296" w:rsidP="007B5D5D">
      <w:pPr>
        <w:pStyle w:val="KeinLeerraum"/>
        <w:ind w:left="360"/>
      </w:pPr>
    </w:p>
    <w:p w14:paraId="34D8C24E" w14:textId="77777777" w:rsidR="001D3296" w:rsidRDefault="001D3296" w:rsidP="007B5D5D">
      <w:pPr>
        <w:pStyle w:val="KeinLeerraum"/>
        <w:ind w:left="360"/>
      </w:pPr>
    </w:p>
    <w:p w14:paraId="5BAD3AF7" w14:textId="77777777" w:rsidR="001D3296" w:rsidRDefault="001D3296" w:rsidP="007B5D5D">
      <w:pPr>
        <w:pStyle w:val="KeinLeerraum"/>
        <w:ind w:left="360"/>
      </w:pPr>
    </w:p>
    <w:p w14:paraId="7956E1C1" w14:textId="77777777" w:rsidR="00A35C69" w:rsidRDefault="00A35C69" w:rsidP="007B5D5D">
      <w:pPr>
        <w:pStyle w:val="KeinLeerraum"/>
        <w:ind w:left="360"/>
      </w:pPr>
    </w:p>
    <w:p w14:paraId="1ECE6055" w14:textId="46EC2D57" w:rsidR="001D3296" w:rsidRDefault="001D3296" w:rsidP="004C0099">
      <w:pPr>
        <w:pStyle w:val="KeinLeerraum"/>
        <w:ind w:left="360"/>
      </w:pPr>
      <w:r w:rsidRPr="004C0099">
        <w:rPr>
          <w:u w:val="single"/>
        </w:rPr>
        <w:t>AESI</w:t>
      </w:r>
      <w:r w:rsidRPr="004C0099">
        <w:t>:</w:t>
      </w:r>
      <w:r w:rsidR="004C0099">
        <w:t xml:space="preserve"> </w:t>
      </w:r>
      <w:r w:rsidRPr="004C0099">
        <w:t>Ereignisse die nicht unbedingt schwerwiegend, aber im Rahmen der Studie</w:t>
      </w:r>
      <w:r w:rsidR="004C0099" w:rsidRPr="004C0099">
        <w:t xml:space="preserve"> </w:t>
      </w:r>
      <w:r w:rsidRPr="004C0099">
        <w:t>bedeutend sind in Bezug auf die Prüfmedikation oder</w:t>
      </w:r>
      <w:r w:rsidR="004C0099" w:rsidRPr="004C0099">
        <w:t xml:space="preserve"> </w:t>
      </w:r>
      <w:r w:rsidRPr="004C0099">
        <w:t>Begleitmedikation,</w:t>
      </w:r>
      <w:r w:rsidR="004C0099" w:rsidRPr="004C0099">
        <w:t xml:space="preserve"> </w:t>
      </w:r>
      <w:r w:rsidRPr="004C0099">
        <w:t>z.B. Lebertoxizität</w:t>
      </w:r>
      <w:r w:rsidR="00A96D3B">
        <w:t xml:space="preserve">, </w:t>
      </w:r>
      <w:r w:rsidRPr="004C0099">
        <w:t>Pleuraergüsse</w:t>
      </w:r>
      <w:r w:rsidR="00A96D3B">
        <w:t xml:space="preserve"> etc.</w:t>
      </w:r>
      <w:r w:rsidR="004C0099" w:rsidRPr="004C0099">
        <w:t xml:space="preserve"> </w:t>
      </w:r>
      <w:r w:rsidRPr="004C0099">
        <w:t>- Sind im Protokoll definiert</w:t>
      </w:r>
      <w:r w:rsidR="004C0099" w:rsidRPr="004C0099">
        <w:t xml:space="preserve"> </w:t>
      </w:r>
      <w:r w:rsidR="003C67ED">
        <w:t>und erfordern</w:t>
      </w:r>
      <w:r w:rsidRPr="004C0099">
        <w:t xml:space="preserve"> sofortige Meldung</w:t>
      </w:r>
      <w:r w:rsidR="00C64486">
        <w:t>, innerhalb von 24 Stunden</w:t>
      </w:r>
      <w:r w:rsidRPr="004C0099">
        <w:t xml:space="preserve"> an den Sponsor, auch wenn dies</w:t>
      </w:r>
      <w:r w:rsidR="004C0099" w:rsidRPr="004C0099">
        <w:t xml:space="preserve"> </w:t>
      </w:r>
      <w:r w:rsidRPr="004C0099">
        <w:t>nach regulatorischen Kriterien nicht notwendig wäre</w:t>
      </w:r>
      <w:r w:rsidR="004C0099" w:rsidRPr="004C0099">
        <w:t>.</w:t>
      </w:r>
    </w:p>
    <w:p w14:paraId="7DE39AC8" w14:textId="77777777" w:rsidR="00BA7754" w:rsidRDefault="00BA7754" w:rsidP="004C0099">
      <w:pPr>
        <w:pStyle w:val="KeinLeerraum"/>
        <w:rPr>
          <w:u w:val="single"/>
        </w:rPr>
      </w:pPr>
    </w:p>
    <w:p w14:paraId="4E68E7C6" w14:textId="1EECEF4B" w:rsidR="004D0CB6" w:rsidRDefault="003D3A0B" w:rsidP="003D3A0B">
      <w:pPr>
        <w:pStyle w:val="KeinLeerraum"/>
        <w:ind w:left="360"/>
      </w:pPr>
      <w:r w:rsidRPr="00C56EAC">
        <w:rPr>
          <w:u w:val="single"/>
        </w:rPr>
        <w:t>Meldung</w:t>
      </w:r>
      <w:r>
        <w:t>: Weitergabe einer Information</w:t>
      </w:r>
      <w:r w:rsidR="001B061E">
        <w:t>.</w:t>
      </w:r>
      <w:r>
        <w:t xml:space="preserve"> </w:t>
      </w:r>
    </w:p>
    <w:p w14:paraId="589DD93E" w14:textId="77777777" w:rsidR="00145B7B" w:rsidRDefault="00145B7B" w:rsidP="00145B7B">
      <w:pPr>
        <w:pStyle w:val="KeinLeerraum"/>
        <w:ind w:left="360"/>
        <w:rPr>
          <w:u w:val="single"/>
        </w:rPr>
      </w:pPr>
    </w:p>
    <w:p w14:paraId="6F23F305" w14:textId="6D7A91A5" w:rsidR="006C1AA7" w:rsidRDefault="00145B7B" w:rsidP="00145B7B">
      <w:pPr>
        <w:pStyle w:val="KeinLeerraum"/>
        <w:ind w:left="360"/>
        <w:rPr>
          <w:rFonts w:cs="Arial"/>
          <w:shd w:val="clear" w:color="auto" w:fill="FFFFFF"/>
        </w:rPr>
      </w:pPr>
      <w:r>
        <w:rPr>
          <w:u w:val="single"/>
        </w:rPr>
        <w:t>SAE</w:t>
      </w:r>
      <w:r w:rsidRPr="004C0099">
        <w:t xml:space="preserve">: </w:t>
      </w:r>
      <w:r w:rsidR="00A96D3B">
        <w:rPr>
          <w:rFonts w:cs="Arial"/>
          <w:shd w:val="clear" w:color="auto" w:fill="FFFFFF"/>
        </w:rPr>
        <w:t>E</w:t>
      </w:r>
      <w:r w:rsidR="006C1AA7" w:rsidRPr="004C0099">
        <w:rPr>
          <w:rFonts w:cs="Arial"/>
          <w:shd w:val="clear" w:color="auto" w:fill="FFFFFF"/>
        </w:rPr>
        <w:t>in schwerwiegendes unerwünschtes Ereignis</w:t>
      </w:r>
      <w:r w:rsidR="00C64486">
        <w:rPr>
          <w:rFonts w:cs="Arial"/>
          <w:shd w:val="clear" w:color="auto" w:fill="FFFFFF"/>
        </w:rPr>
        <w:t xml:space="preserve"> ist</w:t>
      </w:r>
      <w:r w:rsidR="006C1AA7" w:rsidRPr="004C0099">
        <w:rPr>
          <w:rFonts w:cs="Arial"/>
          <w:shd w:val="clear" w:color="auto" w:fill="FFFFFF"/>
        </w:rPr>
        <w:t> jedes während einer </w:t>
      </w:r>
      <w:hyperlink r:id="rId8" w:tgtFrame="_blank" w:history="1">
        <w:r w:rsidR="006C1AA7" w:rsidRPr="004C0099">
          <w:rPr>
            <w:rStyle w:val="Hyperlink"/>
            <w:rFonts w:cs="Arial"/>
            <w:color w:val="000000" w:themeColor="text1"/>
            <w:shd w:val="clear" w:color="auto" w:fill="FFFFFF"/>
          </w:rPr>
          <w:t>klinischen Prüfung</w:t>
        </w:r>
      </w:hyperlink>
      <w:r w:rsidR="006C1AA7" w:rsidRPr="004C0099">
        <w:rPr>
          <w:rFonts w:cs="Arial"/>
          <w:shd w:val="clear" w:color="auto" w:fill="FFFFFF"/>
        </w:rPr>
        <w:t> auftretende</w:t>
      </w:r>
      <w:r w:rsidR="00A96D3B">
        <w:rPr>
          <w:rFonts w:cs="Arial"/>
          <w:shd w:val="clear" w:color="auto" w:fill="FFFFFF"/>
        </w:rPr>
        <w:t xml:space="preserve"> jedes</w:t>
      </w:r>
      <w:r w:rsidR="006C1AA7" w:rsidRPr="004C0099">
        <w:rPr>
          <w:rFonts w:cs="Arial"/>
          <w:shd w:val="clear" w:color="auto" w:fill="FFFFFF"/>
        </w:rPr>
        <w:t xml:space="preserve"> unerwünschte</w:t>
      </w:r>
      <w:r w:rsidR="00A96D3B">
        <w:rPr>
          <w:rFonts w:cs="Arial"/>
          <w:shd w:val="clear" w:color="auto" w:fill="FFFFFF"/>
        </w:rPr>
        <w:t xml:space="preserve"> medizinische</w:t>
      </w:r>
      <w:r w:rsidR="006C1AA7" w:rsidRPr="004C0099">
        <w:rPr>
          <w:rFonts w:cs="Arial"/>
          <w:shd w:val="clear" w:color="auto" w:fill="FFFFFF"/>
        </w:rPr>
        <w:t xml:space="preserve"> Ereignis, das auch ohne kausalen Zusammenhang</w:t>
      </w:r>
      <w:r w:rsidR="00A96D3B">
        <w:rPr>
          <w:rFonts w:cs="Arial"/>
          <w:shd w:val="clear" w:color="auto" w:fill="FFFFFF"/>
        </w:rPr>
        <w:t xml:space="preserve"> z.B. Dosis</w:t>
      </w:r>
      <w:r w:rsidR="006C1AA7" w:rsidRPr="004C0099">
        <w:rPr>
          <w:rFonts w:cs="Arial"/>
          <w:shd w:val="clear" w:color="auto" w:fill="FFFFFF"/>
        </w:rPr>
        <w:t xml:space="preserve"> </w:t>
      </w:r>
      <w:r w:rsidR="003C67ED">
        <w:rPr>
          <w:rFonts w:cs="Arial"/>
          <w:shd w:val="clear" w:color="auto" w:fill="FFFFFF"/>
        </w:rPr>
        <w:t>des</w:t>
      </w:r>
      <w:r w:rsidR="00585B98">
        <w:rPr>
          <w:rFonts w:cs="Arial"/>
          <w:shd w:val="clear" w:color="auto" w:fill="FFFFFF"/>
        </w:rPr>
        <w:t xml:space="preserve"> </w:t>
      </w:r>
      <w:hyperlink r:id="rId9" w:tgtFrame="_blank" w:history="1">
        <w:r w:rsidR="006C1AA7" w:rsidRPr="004C0099">
          <w:rPr>
            <w:rStyle w:val="Hyperlink"/>
            <w:rFonts w:cs="Arial"/>
            <w:color w:val="000000" w:themeColor="text1"/>
            <w:shd w:val="clear" w:color="auto" w:fill="FFFFFF"/>
          </w:rPr>
          <w:t>Prüfpräparat</w:t>
        </w:r>
      </w:hyperlink>
      <w:r w:rsidR="003C67ED">
        <w:rPr>
          <w:rStyle w:val="Hyperlink"/>
          <w:rFonts w:cs="Arial"/>
          <w:color w:val="000000" w:themeColor="text1"/>
          <w:shd w:val="clear" w:color="auto" w:fill="FFFFFF"/>
        </w:rPr>
        <w:t>es</w:t>
      </w:r>
      <w:r w:rsidR="00585B98" w:rsidRPr="00585B98">
        <w:rPr>
          <w:rStyle w:val="Hyperlink"/>
          <w:rFonts w:cs="Arial"/>
          <w:color w:val="000000" w:themeColor="text1"/>
          <w:u w:val="none"/>
          <w:shd w:val="clear" w:color="auto" w:fill="FFFFFF"/>
        </w:rPr>
        <w:t xml:space="preserve"> </w:t>
      </w:r>
      <w:r w:rsidR="006C1AA7" w:rsidRPr="004C0099">
        <w:rPr>
          <w:rFonts w:cs="Arial"/>
          <w:shd w:val="clear" w:color="auto" w:fill="FFFFFF"/>
        </w:rPr>
        <w:t>eines der folgenden Kriterien nach</w:t>
      </w:r>
      <w:r w:rsidR="00585B98">
        <w:rPr>
          <w:rFonts w:cs="Arial"/>
          <w:shd w:val="clear" w:color="auto" w:fill="FFFFFF"/>
        </w:rPr>
        <w:t xml:space="preserve"> </w:t>
      </w:r>
      <w:hyperlink r:id="rId10" w:tgtFrame="_blank" w:history="1">
        <w:r w:rsidR="006C1AA7" w:rsidRPr="004C0099">
          <w:rPr>
            <w:rStyle w:val="Hyperlink"/>
            <w:rFonts w:cs="Arial"/>
            <w:color w:val="000000" w:themeColor="text1"/>
            <w:shd w:val="clear" w:color="auto" w:fill="FFFFFF"/>
          </w:rPr>
          <w:t>ICH-</w:t>
        </w:r>
        <w:r w:rsidR="00585B98" w:rsidRPr="004C0099">
          <w:rPr>
            <w:rFonts w:cs="Arial"/>
            <w:shd w:val="clear" w:color="auto" w:fill="FFFFFF"/>
          </w:rPr>
          <w:t> </w:t>
        </w:r>
        <w:r w:rsidR="00585B98">
          <w:rPr>
            <w:rStyle w:val="Hyperlink"/>
            <w:rFonts w:cs="Arial"/>
            <w:color w:val="000000" w:themeColor="text1"/>
            <w:shd w:val="clear" w:color="auto" w:fill="FFFFFF"/>
          </w:rPr>
          <w:t>G</w:t>
        </w:r>
        <w:r w:rsidR="006C1AA7" w:rsidRPr="004C0099">
          <w:rPr>
            <w:rStyle w:val="Hyperlink"/>
            <w:rFonts w:cs="Arial"/>
            <w:color w:val="000000" w:themeColor="text1"/>
            <w:shd w:val="clear" w:color="auto" w:fill="FFFFFF"/>
          </w:rPr>
          <w:t>CP</w:t>
        </w:r>
      </w:hyperlink>
      <w:r w:rsidR="00C64486">
        <w:rPr>
          <w:rStyle w:val="Hyperlink"/>
          <w:rFonts w:cs="Arial"/>
          <w:color w:val="000000" w:themeColor="text1"/>
          <w:shd w:val="clear" w:color="auto" w:fill="FFFFFF"/>
        </w:rPr>
        <w:t xml:space="preserve"> (E6 R2)</w:t>
      </w:r>
      <w:r w:rsidR="0027614E" w:rsidRPr="004C0099">
        <w:rPr>
          <w:rFonts w:cs="Arial"/>
          <w:shd w:val="clear" w:color="auto" w:fill="FFFFFF"/>
        </w:rPr>
        <w:t xml:space="preserve"> und </w:t>
      </w:r>
      <w:r w:rsidR="0027614E" w:rsidRPr="004C0099">
        <w:t>§ 3, Nr. 8 GCP-V</w:t>
      </w:r>
      <w:r w:rsidR="00C64486">
        <w:t xml:space="preserve"> (Ausfertigungsdatum</w:t>
      </w:r>
      <w:r w:rsidR="0027614E" w:rsidRPr="004C0099">
        <w:rPr>
          <w:rFonts w:cs="Arial"/>
          <w:shd w:val="clear" w:color="auto" w:fill="FFFFFF"/>
        </w:rPr>
        <w:t xml:space="preserve"> </w:t>
      </w:r>
      <w:r w:rsidR="00C64486">
        <w:rPr>
          <w:rFonts w:cs="Arial"/>
          <w:shd w:val="clear" w:color="auto" w:fill="FFFFFF"/>
        </w:rPr>
        <w:t xml:space="preserve">09.08.2004) </w:t>
      </w:r>
      <w:r w:rsidR="006C1AA7" w:rsidRPr="004C0099">
        <w:rPr>
          <w:rFonts w:cs="Arial"/>
          <w:shd w:val="clear" w:color="auto" w:fill="FFFFFF"/>
        </w:rPr>
        <w:t>erfüllt:</w:t>
      </w:r>
      <w:r w:rsidR="00385BF5">
        <w:rPr>
          <w:rFonts w:cs="Arial"/>
          <w:shd w:val="clear" w:color="auto" w:fill="FFFFFF"/>
        </w:rPr>
        <w:t xml:space="preserve"> </w:t>
      </w:r>
    </w:p>
    <w:p w14:paraId="363786AD" w14:textId="19644DD7" w:rsidR="00EB17D2" w:rsidRDefault="00BA74F2" w:rsidP="00145B7B">
      <w:pPr>
        <w:pStyle w:val="KeinLeerraum"/>
        <w:numPr>
          <w:ilvl w:val="1"/>
          <w:numId w:val="6"/>
        </w:numPr>
      </w:pPr>
      <w:r>
        <w:t>Zum Tode führt,</w:t>
      </w:r>
    </w:p>
    <w:p w14:paraId="46DBCFDC" w14:textId="02002FAE" w:rsidR="00145B7B" w:rsidRPr="00145B7B" w:rsidRDefault="00BA74F2" w:rsidP="00145B7B">
      <w:pPr>
        <w:pStyle w:val="KeinLeerraum"/>
        <w:numPr>
          <w:ilvl w:val="1"/>
          <w:numId w:val="6"/>
        </w:numPr>
      </w:pPr>
      <w:r>
        <w:t xml:space="preserve">Lebensbedrohlich ist, </w:t>
      </w:r>
    </w:p>
    <w:p w14:paraId="79A3F698" w14:textId="178C64CA" w:rsidR="00145B7B" w:rsidRPr="00145B7B" w:rsidRDefault="00BA74F2" w:rsidP="00145B7B">
      <w:pPr>
        <w:pStyle w:val="KeinLeerraum"/>
        <w:numPr>
          <w:ilvl w:val="1"/>
          <w:numId w:val="6"/>
        </w:numPr>
      </w:pPr>
      <w:r>
        <w:t>Eine s</w:t>
      </w:r>
      <w:r w:rsidR="00145B7B" w:rsidRPr="00145B7B">
        <w:t xml:space="preserve">tationäre Behandlung </w:t>
      </w:r>
      <w:r w:rsidRPr="00BA74F2">
        <w:t>des Prüfungsteilnehmers oder eine Verlängerung des stationären Aufenthaltes erforderlich macht,</w:t>
      </w:r>
    </w:p>
    <w:p w14:paraId="324BE1A1" w14:textId="77777777" w:rsidR="00BA74F2" w:rsidRDefault="00BA74F2" w:rsidP="00145B7B">
      <w:pPr>
        <w:pStyle w:val="KeinLeerraum"/>
        <w:numPr>
          <w:ilvl w:val="1"/>
          <w:numId w:val="6"/>
        </w:numPr>
      </w:pPr>
      <w:r w:rsidRPr="00BA74F2">
        <w:t>zu bleibenden oder signifikanten Schäden / Behinderungen führt, ode</w:t>
      </w:r>
      <w:r>
        <w:t>r</w:t>
      </w:r>
    </w:p>
    <w:p w14:paraId="16DF2941" w14:textId="746C12AB" w:rsidR="007938DD" w:rsidRPr="00C64486" w:rsidRDefault="00BA74F2" w:rsidP="00571A98">
      <w:pPr>
        <w:pStyle w:val="KeinLeerraum"/>
        <w:numPr>
          <w:ilvl w:val="1"/>
          <w:numId w:val="6"/>
        </w:numPr>
        <w:ind w:left="1080"/>
        <w:rPr>
          <w:color w:val="auto"/>
        </w:rPr>
      </w:pPr>
      <w:r w:rsidRPr="00BA74F2">
        <w:t xml:space="preserve"> eine angeborene Mi</w:t>
      </w:r>
      <w:r>
        <w:t>ss</w:t>
      </w:r>
      <w:r w:rsidRPr="00BA74F2">
        <w:t>bildung bzw. einen Geburtsfehler darstellt</w:t>
      </w:r>
      <w:r>
        <w:t>,</w:t>
      </w:r>
    </w:p>
    <w:p w14:paraId="539568DE" w14:textId="476789F2" w:rsidR="00C64486" w:rsidRPr="00C64486" w:rsidRDefault="00C64486" w:rsidP="00571A98">
      <w:pPr>
        <w:pStyle w:val="KeinLeerraum"/>
        <w:numPr>
          <w:ilvl w:val="1"/>
          <w:numId w:val="6"/>
        </w:numPr>
        <w:ind w:left="1080"/>
        <w:rPr>
          <w:color w:val="auto"/>
        </w:rPr>
      </w:pPr>
      <w:r>
        <w:t>Weitere Ereignisse sind ggf. im Protokoll definiert.</w:t>
      </w:r>
    </w:p>
    <w:p w14:paraId="70B8101A" w14:textId="77777777" w:rsidR="00C64486" w:rsidRPr="00C64486" w:rsidRDefault="00C64486" w:rsidP="00C64486">
      <w:pPr>
        <w:pStyle w:val="KeinLeerraum"/>
        <w:ind w:left="1080"/>
        <w:rPr>
          <w:color w:val="auto"/>
        </w:rPr>
      </w:pPr>
    </w:p>
    <w:p w14:paraId="1D7FFCBE" w14:textId="2BC27536" w:rsidR="00145B7B" w:rsidRDefault="00E91B2D" w:rsidP="00FA49B0">
      <w:pPr>
        <w:pStyle w:val="KeinLeerraum"/>
      </w:pPr>
      <w:r w:rsidRPr="00585B98">
        <w:rPr>
          <w:b/>
          <w:bCs/>
        </w:rPr>
        <w:t>CAVE</w:t>
      </w:r>
      <w:r>
        <w:t xml:space="preserve">: </w:t>
      </w:r>
      <w:r w:rsidR="0000268B" w:rsidRPr="0000268B">
        <w:t>AE und SAE unterscheiden sich durch die SAE</w:t>
      </w:r>
      <w:r w:rsidR="0000268B">
        <w:t>-Definition</w:t>
      </w:r>
      <w:r w:rsidR="0000268B" w:rsidRPr="0000268B">
        <w:t>/</w:t>
      </w:r>
      <w:r w:rsidR="0000268B">
        <w:t xml:space="preserve"> </w:t>
      </w:r>
      <w:r w:rsidR="0000268B" w:rsidRPr="0000268B">
        <w:t>Kriterien. Dem folgt die unterschiedliche Meldepflicht.</w:t>
      </w:r>
    </w:p>
    <w:p w14:paraId="68D35C0D" w14:textId="77777777" w:rsidR="00246F1C" w:rsidRDefault="00246F1C" w:rsidP="00FA49B0">
      <w:pPr>
        <w:pStyle w:val="KeinLeerraum"/>
      </w:pPr>
    </w:p>
    <w:p w14:paraId="78299A22" w14:textId="77777777" w:rsidR="00E91B2D" w:rsidRDefault="00E91B2D" w:rsidP="00FA49B0">
      <w:pPr>
        <w:pStyle w:val="KeinLeerraum"/>
      </w:pPr>
    </w:p>
    <w:p w14:paraId="4B18ED43" w14:textId="4BCA3AC9" w:rsidR="000903BC" w:rsidRDefault="000903BC" w:rsidP="000903BC">
      <w:pPr>
        <w:pStyle w:val="berschrift1"/>
        <w:numPr>
          <w:ilvl w:val="0"/>
          <w:numId w:val="2"/>
        </w:numPr>
      </w:pPr>
      <w:bookmarkStart w:id="4" w:name="_Toc144730159"/>
      <w:r>
        <w:t>Grundlagen</w:t>
      </w:r>
      <w:bookmarkEnd w:id="4"/>
    </w:p>
    <w:p w14:paraId="6DD1DB80" w14:textId="0EE4B6CA" w:rsidR="000903BC" w:rsidRDefault="00B04ACE" w:rsidP="000903BC">
      <w:pPr>
        <w:pStyle w:val="KeinLeerraum"/>
      </w:pPr>
      <w:r>
        <w:t xml:space="preserve">Informationen zur </w:t>
      </w:r>
      <w:r w:rsidR="006C1C4F">
        <w:t>Beurteilung</w:t>
      </w:r>
      <w:r w:rsidR="00C50CAE">
        <w:t xml:space="preserve"> </w:t>
      </w:r>
      <w:r w:rsidR="003C67ED">
        <w:t>eines</w:t>
      </w:r>
      <w:r w:rsidR="00C50CAE">
        <w:t xml:space="preserve"> AE</w:t>
      </w:r>
      <w:r w:rsidR="003C67ED">
        <w:t>s</w:t>
      </w:r>
      <w:r w:rsidR="00C50CAE">
        <w:t xml:space="preserve"> und/ oder SAE</w:t>
      </w:r>
      <w:r w:rsidR="003C67ED">
        <w:t>s</w:t>
      </w:r>
      <w:r w:rsidR="00C50CAE">
        <w:t xml:space="preserve"> </w:t>
      </w:r>
      <w:r>
        <w:t>finden Sie in der</w:t>
      </w:r>
      <w:r w:rsidR="00C50CAE">
        <w:t xml:space="preserve"> </w:t>
      </w:r>
      <w:r w:rsidR="007D2120">
        <w:t>SOP-</w:t>
      </w:r>
      <w:r w:rsidR="006C1C4F">
        <w:t>Beurteilung</w:t>
      </w:r>
      <w:r w:rsidR="001C4452">
        <w:t xml:space="preserve"> von</w:t>
      </w:r>
      <w:r w:rsidR="00C50CAE">
        <w:t xml:space="preserve"> AEs/ SAEs</w:t>
      </w:r>
      <w:r w:rsidR="006C1C4F">
        <w:t xml:space="preserve"> anhand von </w:t>
      </w:r>
      <w:r w:rsidR="006C1C4F" w:rsidRPr="00FD3222">
        <w:t xml:space="preserve">Common </w:t>
      </w:r>
      <w:proofErr w:type="spellStart"/>
      <w:r w:rsidR="006C1C4F" w:rsidRPr="00FD3222">
        <w:t>Terminology</w:t>
      </w:r>
      <w:proofErr w:type="spellEnd"/>
      <w:r w:rsidR="006C1C4F" w:rsidRPr="00FD3222">
        <w:t xml:space="preserve"> </w:t>
      </w:r>
      <w:proofErr w:type="spellStart"/>
      <w:r w:rsidR="006C1C4F" w:rsidRPr="00FD3222">
        <w:t>Criteria</w:t>
      </w:r>
      <w:proofErr w:type="spellEnd"/>
      <w:r w:rsidR="006C1C4F" w:rsidRPr="00FD3222">
        <w:t xml:space="preserve"> </w:t>
      </w:r>
      <w:proofErr w:type="spellStart"/>
      <w:r w:rsidR="006C1C4F" w:rsidRPr="00FD3222">
        <w:t>for</w:t>
      </w:r>
      <w:proofErr w:type="spellEnd"/>
      <w:r w:rsidR="006C1C4F" w:rsidRPr="00FD3222">
        <w:t xml:space="preserve"> Adverse Event</w:t>
      </w:r>
      <w:r w:rsidR="00CD5126" w:rsidRPr="00FD3222">
        <w:t>.</w:t>
      </w:r>
      <w:r w:rsidR="006C1C4F" w:rsidRPr="00FD3222">
        <w:t xml:space="preserve"> </w:t>
      </w:r>
      <w:r w:rsidR="00CD5126">
        <w:rPr>
          <w:lang w:val="en-US"/>
        </w:rPr>
        <w:t>D</w:t>
      </w:r>
      <w:r w:rsidR="006C1C4F">
        <w:rPr>
          <w:lang w:val="en-US"/>
        </w:rPr>
        <w:t xml:space="preserve">ie </w:t>
      </w:r>
      <w:proofErr w:type="spellStart"/>
      <w:r w:rsidR="006C1C4F">
        <w:rPr>
          <w:lang w:val="en-US"/>
        </w:rPr>
        <w:t>verwendete</w:t>
      </w:r>
      <w:proofErr w:type="spellEnd"/>
      <w:r w:rsidR="006C1C4F">
        <w:rPr>
          <w:lang w:val="en-US"/>
        </w:rPr>
        <w:t xml:space="preserve"> Version </w:t>
      </w:r>
      <w:proofErr w:type="spellStart"/>
      <w:r w:rsidR="00CD5126">
        <w:rPr>
          <w:lang w:val="en-US"/>
        </w:rPr>
        <w:t>wird</w:t>
      </w:r>
      <w:proofErr w:type="spellEnd"/>
      <w:r w:rsidR="00CD5126">
        <w:rPr>
          <w:lang w:val="en-US"/>
        </w:rPr>
        <w:t xml:space="preserve"> </w:t>
      </w:r>
      <w:proofErr w:type="spellStart"/>
      <w:r w:rsidR="00CD5126">
        <w:rPr>
          <w:lang w:val="en-US"/>
        </w:rPr>
        <w:t>im</w:t>
      </w:r>
      <w:proofErr w:type="spellEnd"/>
      <w:r w:rsidR="00CD5126">
        <w:rPr>
          <w:lang w:val="en-US"/>
        </w:rPr>
        <w:t xml:space="preserve"> </w:t>
      </w:r>
      <w:proofErr w:type="spellStart"/>
      <w:r w:rsidR="00CD5126">
        <w:rPr>
          <w:lang w:val="en-US"/>
        </w:rPr>
        <w:t>Protokoll</w:t>
      </w:r>
      <w:proofErr w:type="spellEnd"/>
      <w:r w:rsidR="006C1C4F">
        <w:rPr>
          <w:lang w:val="en-US"/>
        </w:rPr>
        <w:t xml:space="preserve"> der Studie</w:t>
      </w:r>
      <w:r w:rsidR="006C1C4F" w:rsidRPr="006C1C4F">
        <w:rPr>
          <w:lang w:val="en-US"/>
        </w:rPr>
        <w:t xml:space="preserve"> </w:t>
      </w:r>
      <w:proofErr w:type="spellStart"/>
      <w:r w:rsidR="00CD5126">
        <w:rPr>
          <w:lang w:val="en-US"/>
        </w:rPr>
        <w:t>beschrieben</w:t>
      </w:r>
      <w:proofErr w:type="spellEnd"/>
      <w:r w:rsidR="006C1C4F">
        <w:rPr>
          <w:lang w:val="en-US"/>
        </w:rPr>
        <w:t xml:space="preserve">. </w:t>
      </w:r>
      <w:r w:rsidR="006C1C4F" w:rsidRPr="006C1C4F">
        <w:t xml:space="preserve"> </w:t>
      </w:r>
    </w:p>
    <w:p w14:paraId="4588C91B" w14:textId="77777777" w:rsidR="000903BC" w:rsidRDefault="000903BC" w:rsidP="000903BC">
      <w:pPr>
        <w:pStyle w:val="KeinLeerraum"/>
      </w:pPr>
    </w:p>
    <w:p w14:paraId="7FB840F6" w14:textId="1EC57B22" w:rsidR="000903BC" w:rsidRDefault="000903BC" w:rsidP="000903BC">
      <w:pPr>
        <w:pStyle w:val="berschrift1"/>
        <w:numPr>
          <w:ilvl w:val="0"/>
          <w:numId w:val="2"/>
        </w:numPr>
      </w:pPr>
      <w:bookmarkStart w:id="5" w:name="_Toc144730160"/>
      <w:r>
        <w:t>Zuständigkeit</w:t>
      </w:r>
      <w:bookmarkEnd w:id="5"/>
    </w:p>
    <w:p w14:paraId="364397F4" w14:textId="7B6056E0" w:rsidR="000903BC" w:rsidRDefault="00B502EA" w:rsidP="000903BC">
      <w:pPr>
        <w:pStyle w:val="KeinLeerraum"/>
      </w:pPr>
      <w:r>
        <w:t>Der Geltungsbereich</w:t>
      </w:r>
      <w:r w:rsidR="00F541B9">
        <w:t xml:space="preserve"> dieser SOP </w:t>
      </w:r>
      <w:r>
        <w:t>ist</w:t>
      </w:r>
      <w:r w:rsidR="00F541B9">
        <w:t xml:space="preserve"> für alle P</w:t>
      </w:r>
      <w:r>
        <w:t>I</w:t>
      </w:r>
      <w:r w:rsidR="00F541B9">
        <w:t>s</w:t>
      </w:r>
      <w:r>
        <w:t>,</w:t>
      </w:r>
      <w:r w:rsidR="00F541B9">
        <w:t xml:space="preserve"> Prüfärzte</w:t>
      </w:r>
      <w:r>
        <w:t xml:space="preserve"> sowie Study</w:t>
      </w:r>
      <w:r w:rsidR="003C67ED">
        <w:t xml:space="preserve"> </w:t>
      </w:r>
      <w:proofErr w:type="spellStart"/>
      <w:r w:rsidR="003C67ED">
        <w:t>N</w:t>
      </w:r>
      <w:r>
        <w:t>urse</w:t>
      </w:r>
      <w:r w:rsidR="003C67ED">
        <w:t>s</w:t>
      </w:r>
      <w:proofErr w:type="spellEnd"/>
      <w:r>
        <w:t xml:space="preserve">/ </w:t>
      </w:r>
      <w:bookmarkStart w:id="6" w:name="_Hlk144287639"/>
      <w:r>
        <w:t>Studienkoordinator</w:t>
      </w:r>
      <w:bookmarkEnd w:id="6"/>
      <w:r w:rsidR="003C67ED">
        <w:t>en</w:t>
      </w:r>
      <w:r w:rsidR="00F541B9">
        <w:t>.</w:t>
      </w:r>
    </w:p>
    <w:p w14:paraId="17C428F5" w14:textId="5CD8657D" w:rsidR="00CA2671" w:rsidRDefault="00CA2671" w:rsidP="000903BC">
      <w:pPr>
        <w:pStyle w:val="KeinLeerraum"/>
      </w:pPr>
      <w:r>
        <w:t>Zuständig für die Meldung der AEs und SAEs</w:t>
      </w:r>
      <w:r w:rsidR="00ED0071">
        <w:t>,</w:t>
      </w:r>
      <w:r>
        <w:t xml:space="preserve"> der ordnungsgemäßen Durchführung und Dokumentation alle</w:t>
      </w:r>
      <w:r w:rsidR="00ED0071">
        <w:t>r</w:t>
      </w:r>
      <w:r>
        <w:t xml:space="preserve"> mit dieser SOP festgelegten Tätigkeiten ist der verantwortliche PI als Leiter der klinischen Studie</w:t>
      </w:r>
      <w:r w:rsidR="00ED0071">
        <w:t xml:space="preserve"> im Prüfzentrum</w:t>
      </w:r>
      <w:r>
        <w:t xml:space="preserve">. Er kann Einzelverantwortungen auf </w:t>
      </w:r>
      <w:r w:rsidR="007938DD">
        <w:rPr>
          <w:color w:val="auto"/>
        </w:rPr>
        <w:t>seine</w:t>
      </w:r>
      <w:r w:rsidRPr="007938DD">
        <w:rPr>
          <w:color w:val="auto"/>
        </w:rPr>
        <w:t xml:space="preserve"> </w:t>
      </w:r>
      <w:r>
        <w:t xml:space="preserve">Mitarbeiter delegieren. Dies entbindet ihn jedoch nicht von der Gesamtverantwortung. </w:t>
      </w:r>
    </w:p>
    <w:p w14:paraId="4EDE45F9" w14:textId="77777777" w:rsidR="000903BC" w:rsidRDefault="000903BC" w:rsidP="000903BC">
      <w:pPr>
        <w:pStyle w:val="KeinLeerraum"/>
      </w:pPr>
    </w:p>
    <w:p w14:paraId="6D78D5FF" w14:textId="107931EE" w:rsidR="000903BC" w:rsidRDefault="000903BC" w:rsidP="000903BC">
      <w:pPr>
        <w:pStyle w:val="berschrift1"/>
        <w:numPr>
          <w:ilvl w:val="0"/>
          <w:numId w:val="2"/>
        </w:numPr>
      </w:pPr>
      <w:bookmarkStart w:id="7" w:name="_Toc144730161"/>
      <w:r>
        <w:t>Prozessbeschreibung</w:t>
      </w:r>
      <w:bookmarkEnd w:id="7"/>
    </w:p>
    <w:p w14:paraId="6838E532" w14:textId="1BF65B53" w:rsidR="003C3217" w:rsidRPr="00170C47" w:rsidRDefault="001F1BB2" w:rsidP="003C3217">
      <w:pPr>
        <w:pStyle w:val="KeinLeerraum"/>
      </w:pPr>
      <w:r w:rsidRPr="00461319">
        <w:rPr>
          <w:rFonts w:cs="Arial"/>
          <w:shd w:val="clear" w:color="auto" w:fill="FFFFFF"/>
        </w:rPr>
        <w:t>Nach § 12 Abs. 4 GCP-Verordnung ist der Prüfarzt verpflichtet, das SAE </w:t>
      </w:r>
      <w:r w:rsidRPr="00461319">
        <w:rPr>
          <w:rFonts w:cs="Arial"/>
        </w:rPr>
        <w:t>unverzüglich (innerhalb von 24 Stunden</w:t>
      </w:r>
      <w:r w:rsidR="00AB5E88">
        <w:rPr>
          <w:rFonts w:cs="Arial"/>
        </w:rPr>
        <w:t>, auch am Wochenende und an Feiertagen</w:t>
      </w:r>
      <w:r w:rsidRPr="00461319">
        <w:rPr>
          <w:rFonts w:cs="Arial"/>
        </w:rPr>
        <w:t xml:space="preserve">) nach Bekanntwerden </w:t>
      </w:r>
      <w:r w:rsidRPr="00461319">
        <w:rPr>
          <w:rFonts w:cs="Arial"/>
        </w:rPr>
        <w:lastRenderedPageBreak/>
        <w:t>an den Sponsor</w:t>
      </w:r>
      <w:r w:rsidRPr="00461319">
        <w:rPr>
          <w:rFonts w:cs="Arial"/>
          <w:shd w:val="clear" w:color="auto" w:fill="FFFFFF"/>
        </w:rPr>
        <w:t> zu melden</w:t>
      </w:r>
      <w:r w:rsidRPr="00461319">
        <w:t>.</w:t>
      </w:r>
      <w:r w:rsidR="003C3217" w:rsidRPr="00461319">
        <w:t xml:space="preserve"> A</w:t>
      </w:r>
      <w:r w:rsidR="003C3217" w:rsidRPr="00461319">
        <w:rPr>
          <w:rFonts w:cs="Arial"/>
          <w:shd w:val="clear" w:color="auto" w:fill="FFFFFF"/>
        </w:rPr>
        <w:t xml:space="preserve">uch wenn noch nicht alle Informationen vorliegen. Diese </w:t>
      </w:r>
      <w:r w:rsidR="003C3217" w:rsidRPr="00170C47">
        <w:rPr>
          <w:rFonts w:cs="Arial"/>
          <w:shd w:val="clear" w:color="auto" w:fill="FFFFFF"/>
        </w:rPr>
        <w:t>werden in einem Folgebericht nachgereicht.</w:t>
      </w:r>
      <w:r w:rsidR="00AB5E88">
        <w:rPr>
          <w:rFonts w:cs="Arial"/>
          <w:shd w:val="clear" w:color="auto" w:fill="FFFFFF"/>
        </w:rPr>
        <w:t xml:space="preserve"> </w:t>
      </w:r>
    </w:p>
    <w:p w14:paraId="2CD03899" w14:textId="417664A3" w:rsidR="00A21F05" w:rsidRDefault="00262C6D" w:rsidP="00A21F05">
      <w:pPr>
        <w:pStyle w:val="KeinLeerraum"/>
      </w:pPr>
      <w:r w:rsidRPr="00170C47">
        <w:t>Ausgenommen sind solche Ereignisse, über welche laut Prüfplan</w:t>
      </w:r>
      <w:r w:rsidR="00DD0998" w:rsidRPr="00170C47">
        <w:t xml:space="preserve"> oder </w:t>
      </w:r>
      <w:r w:rsidR="00EB61A1">
        <w:t xml:space="preserve">Prüferinformation </w:t>
      </w:r>
      <w:r w:rsidRPr="00170C47">
        <w:t xml:space="preserve">nicht unverzüglich berichtet werden muss (§ 12 Abs. 4 GCP-V). </w:t>
      </w:r>
    </w:p>
    <w:p w14:paraId="1E0B15F2" w14:textId="215202EF" w:rsidR="00AB5E88" w:rsidRDefault="00AB5E88" w:rsidP="00A21F05">
      <w:pPr>
        <w:pStyle w:val="KeinLeerraum"/>
      </w:pPr>
      <w:r>
        <w:t>Falls</w:t>
      </w:r>
      <w:r w:rsidR="00CA3195">
        <w:t xml:space="preserve"> bei IT-Problemen</w:t>
      </w:r>
      <w:r w:rsidR="003C67ED">
        <w:t xml:space="preserve"> das</w:t>
      </w:r>
      <w:r>
        <w:t xml:space="preserve"> </w:t>
      </w:r>
      <w:proofErr w:type="spellStart"/>
      <w:r>
        <w:t>eCRF</w:t>
      </w:r>
      <w:proofErr w:type="spellEnd"/>
      <w:r>
        <w:t xml:space="preserve"> nicht aufrufbar </w:t>
      </w:r>
      <w:r w:rsidR="00CA3195">
        <w:t>ist</w:t>
      </w:r>
      <w:r>
        <w:t xml:space="preserve">, </w:t>
      </w:r>
      <w:r w:rsidR="00CA3195">
        <w:t>ist</w:t>
      </w:r>
      <w:r>
        <w:t xml:space="preserve"> d</w:t>
      </w:r>
      <w:r w:rsidR="00CA3195">
        <w:t xml:space="preserve">as </w:t>
      </w:r>
      <w:proofErr w:type="spellStart"/>
      <w:r w:rsidR="00CA3195">
        <w:t>sponsorspezifische</w:t>
      </w:r>
      <w:proofErr w:type="spellEnd"/>
      <w:r>
        <w:t xml:space="preserve"> </w:t>
      </w:r>
      <w:r w:rsidRPr="00AB5E88">
        <w:t>SAE-Formular</w:t>
      </w:r>
      <w:r w:rsidR="00E01374">
        <w:t xml:space="preserve"> i</w:t>
      </w:r>
      <w:r w:rsidR="00CA3195">
        <w:t>n dem</w:t>
      </w:r>
      <w:r w:rsidR="00E01374">
        <w:t xml:space="preserve"> Prüfarztordner zu finden</w:t>
      </w:r>
      <w:r w:rsidR="00CA3195">
        <w:t xml:space="preserve"> und</w:t>
      </w:r>
      <w:r w:rsidR="00E01374">
        <w:t xml:space="preserve"> das aus</w:t>
      </w:r>
      <w:r w:rsidR="00CA3195">
        <w:t>ge</w:t>
      </w:r>
      <w:r w:rsidR="00E01374">
        <w:t>füllte Dokument</w:t>
      </w:r>
      <w:r w:rsidR="00CA3195">
        <w:t xml:space="preserve"> muss</w:t>
      </w:r>
      <w:r w:rsidRPr="00AB5E88">
        <w:t xml:space="preserve"> </w:t>
      </w:r>
      <w:r>
        <w:t xml:space="preserve">an den Sponsor </w:t>
      </w:r>
      <w:r w:rsidR="00CA3195">
        <w:t>übermittelt werden</w:t>
      </w:r>
      <w:r w:rsidR="00992BAF">
        <w:t>. Im Anschluss muss das SAE-Formular</w:t>
      </w:r>
      <w:r>
        <w:t xml:space="preserve"> i</w:t>
      </w:r>
      <w:r w:rsidR="00E01374">
        <w:t>n dem</w:t>
      </w:r>
      <w:r w:rsidRPr="00AB5E88">
        <w:t xml:space="preserve"> Prüfarztordner </w:t>
      </w:r>
      <w:proofErr w:type="spellStart"/>
      <w:r w:rsidR="00E01374">
        <w:t>ab</w:t>
      </w:r>
      <w:r w:rsidR="00992BAF">
        <w:t>ge</w:t>
      </w:r>
      <w:r w:rsidR="00E01374">
        <w:t>leg</w:t>
      </w:r>
      <w:r w:rsidR="00CA3195">
        <w:t>e</w:t>
      </w:r>
      <w:r w:rsidR="00992BAF">
        <w:t>t</w:t>
      </w:r>
      <w:proofErr w:type="spellEnd"/>
      <w:r w:rsidR="00992BAF">
        <w:t xml:space="preserve"> werden</w:t>
      </w:r>
      <w:r w:rsidR="006E55CE">
        <w:t xml:space="preserve">. </w:t>
      </w:r>
    </w:p>
    <w:p w14:paraId="34D920DD" w14:textId="415E45F3" w:rsidR="00992BAF" w:rsidRDefault="00992BAF" w:rsidP="00A21F05">
      <w:pPr>
        <w:pStyle w:val="KeinLeerraum"/>
      </w:pPr>
      <w:r>
        <w:t xml:space="preserve">Die Meldung des SAE über EDC oder Papierform ist Sponsor-abhängig. Beachte Studienspezifisches Vorgehen in dem jeweiligen Studienprotokoll. </w:t>
      </w:r>
    </w:p>
    <w:p w14:paraId="28E11130" w14:textId="5EC69611" w:rsidR="00834DB3" w:rsidRDefault="007938DD" w:rsidP="00D82871">
      <w:pPr>
        <w:pStyle w:val="KeinLeerraum"/>
      </w:pPr>
      <w:r>
        <w:t>D</w:t>
      </w:r>
      <w:r w:rsidR="001F1BB2">
        <w:t xml:space="preserve">ie Meldung von </w:t>
      </w:r>
      <w:r w:rsidR="001F1BB2" w:rsidRPr="00266F91">
        <w:t>AEs</w:t>
      </w:r>
      <w:r w:rsidR="00461319" w:rsidRPr="00266F91">
        <w:t xml:space="preserve"> sind</w:t>
      </w:r>
      <w:r w:rsidR="001F1BB2" w:rsidRPr="00266F91">
        <w:t xml:space="preserve"> innerhalb von </w:t>
      </w:r>
      <w:r w:rsidR="00992BAF">
        <w:t>drei</w:t>
      </w:r>
      <w:r w:rsidR="001F1BB2" w:rsidRPr="00266F91">
        <w:t xml:space="preserve"> Tagen</w:t>
      </w:r>
      <w:r w:rsidR="001F1BB2">
        <w:t xml:space="preserve">, nach </w:t>
      </w:r>
      <w:r w:rsidR="00461319">
        <w:t>B</w:t>
      </w:r>
      <w:r w:rsidR="001F1BB2">
        <w:t>ekannt</w:t>
      </w:r>
      <w:r w:rsidR="00461319">
        <w:t>w</w:t>
      </w:r>
      <w:r w:rsidR="001F1BB2">
        <w:t>erden</w:t>
      </w:r>
      <w:r w:rsidR="00461319">
        <w:t xml:space="preserve"> zu dokumentieren</w:t>
      </w:r>
      <w:r w:rsidR="001F1BB2">
        <w:t xml:space="preserve">. </w:t>
      </w:r>
      <w:r w:rsidR="00B502EA">
        <w:t xml:space="preserve">Die </w:t>
      </w:r>
      <w:r w:rsidR="005764C7">
        <w:t xml:space="preserve">zeitliche </w:t>
      </w:r>
      <w:r w:rsidR="00B502EA">
        <w:t>Frist der AE-Meldung kann</w:t>
      </w:r>
      <w:r w:rsidR="00426156">
        <w:t xml:space="preserve"> </w:t>
      </w:r>
      <w:r w:rsidR="00B502EA">
        <w:t xml:space="preserve">jedoch, </w:t>
      </w:r>
      <w:r w:rsidR="00426156">
        <w:t>je nach Studien abweichen.</w:t>
      </w:r>
      <w:r w:rsidR="00BA7754">
        <w:t xml:space="preserve"> Die </w:t>
      </w:r>
      <w:r w:rsidR="009507F2">
        <w:t>SAE/ AEs</w:t>
      </w:r>
      <w:r w:rsidR="00BA7754">
        <w:t xml:space="preserve"> sind</w:t>
      </w:r>
      <w:r w:rsidR="000B23E8">
        <w:t xml:space="preserve"> grundsätzlich</w:t>
      </w:r>
      <w:r w:rsidR="00BA7754">
        <w:t xml:space="preserve"> in der Patientenakte</w:t>
      </w:r>
      <w:r w:rsidR="009507F2">
        <w:t xml:space="preserve"> </w:t>
      </w:r>
      <w:r w:rsidR="00BA7754">
        <w:t xml:space="preserve">zu vermerken </w:t>
      </w:r>
      <w:r w:rsidR="00BA7754" w:rsidRPr="00BA7754">
        <w:rPr>
          <w:u w:val="single"/>
        </w:rPr>
        <w:t>und</w:t>
      </w:r>
      <w:r w:rsidR="00BA7754">
        <w:t xml:space="preserve"> </w:t>
      </w:r>
      <w:r w:rsidR="000B23E8">
        <w:t xml:space="preserve">werden ebenfalls </w:t>
      </w:r>
      <w:r w:rsidR="00BA7754">
        <w:t xml:space="preserve">elektronisch </w:t>
      </w:r>
      <w:r w:rsidR="000B23E8">
        <w:t>in de</w:t>
      </w:r>
      <w:r w:rsidR="00461319">
        <w:t>n</w:t>
      </w:r>
      <w:r w:rsidR="00BA7754">
        <w:t xml:space="preserve"> </w:t>
      </w:r>
      <w:proofErr w:type="spellStart"/>
      <w:r w:rsidR="003C67ED">
        <w:t>eCRFs</w:t>
      </w:r>
      <w:proofErr w:type="spellEnd"/>
      <w:r w:rsidR="00461319">
        <w:t xml:space="preserve"> </w:t>
      </w:r>
      <w:r w:rsidR="000B23E8" w:rsidRPr="000B23E8">
        <w:rPr>
          <w:color w:val="auto"/>
        </w:rPr>
        <w:t>erfasst</w:t>
      </w:r>
      <w:r w:rsidR="00BA7754">
        <w:t>.</w:t>
      </w:r>
      <w:r w:rsidR="005C730D">
        <w:t xml:space="preserve"> </w:t>
      </w:r>
      <w:r w:rsidR="000B23E8">
        <w:t xml:space="preserve">Der </w:t>
      </w:r>
      <w:r w:rsidR="005C730D">
        <w:t xml:space="preserve">Monitor </w:t>
      </w:r>
      <w:r w:rsidR="000B23E8">
        <w:t xml:space="preserve">wird </w:t>
      </w:r>
      <w:r w:rsidR="005C730D">
        <w:t xml:space="preserve">immer noch </w:t>
      </w:r>
      <w:r w:rsidR="000B23E8">
        <w:t>zusätzlich</w:t>
      </w:r>
      <w:r w:rsidR="005C730D">
        <w:t xml:space="preserve"> </w:t>
      </w:r>
      <w:r w:rsidR="000B23E8">
        <w:t>bei</w:t>
      </w:r>
      <w:r w:rsidR="005C730D">
        <w:t xml:space="preserve"> SAEs informier</w:t>
      </w:r>
      <w:r w:rsidR="000B23E8">
        <w:t>t</w:t>
      </w:r>
      <w:r w:rsidR="003C3217">
        <w:t>.</w:t>
      </w:r>
      <w:r w:rsidR="00992BAF">
        <w:t xml:space="preserve"> Die</w:t>
      </w:r>
      <w:r w:rsidR="003C3217">
        <w:t xml:space="preserve"> </w:t>
      </w:r>
      <w:r w:rsidR="00992BAF">
        <w:t>Kontaktdaten des Monitors sind</w:t>
      </w:r>
      <w:r w:rsidR="00696E69">
        <w:t xml:space="preserve"> </w:t>
      </w:r>
      <w:r w:rsidR="00992BAF">
        <w:t>im Prüfarztor</w:t>
      </w:r>
      <w:r w:rsidR="00696E69">
        <w:t>d</w:t>
      </w:r>
      <w:r w:rsidR="00992BAF">
        <w:t>ne</w:t>
      </w:r>
      <w:r w:rsidR="00696E69">
        <w:t>r im Abschnitt</w:t>
      </w:r>
      <w:r w:rsidR="00992BAF">
        <w:t xml:space="preserve"> </w:t>
      </w:r>
      <w:r w:rsidR="00696E69">
        <w:t>L</w:t>
      </w:r>
      <w:r w:rsidR="00992BAF">
        <w:t xml:space="preserve">ist </w:t>
      </w:r>
      <w:proofErr w:type="spellStart"/>
      <w:r w:rsidR="00992BAF">
        <w:t>of</w:t>
      </w:r>
      <w:proofErr w:type="spellEnd"/>
      <w:r w:rsidR="00992BAF">
        <w:t xml:space="preserve"> </w:t>
      </w:r>
      <w:r w:rsidR="00696E69">
        <w:t>C</w:t>
      </w:r>
      <w:r w:rsidR="00992BAF">
        <w:t xml:space="preserve">ontact zu entnehmen. </w:t>
      </w:r>
      <w:r w:rsidR="00696E69">
        <w:t xml:space="preserve">Die Information über die SAEs </w:t>
      </w:r>
      <w:r w:rsidR="00696E69" w:rsidRPr="00696E69">
        <w:t>kann</w:t>
      </w:r>
      <w:r w:rsidR="00696E69">
        <w:t xml:space="preserve"> per Mail oder Telefon erfolgen.</w:t>
      </w:r>
    </w:p>
    <w:p w14:paraId="72D2E1A4" w14:textId="14CE1492" w:rsidR="00D63915" w:rsidRDefault="00D63915" w:rsidP="00D82871">
      <w:pPr>
        <w:pStyle w:val="KeinLeerraum"/>
      </w:pPr>
      <w:r w:rsidRPr="00170C47">
        <w:t>Laut Abschnitt 9.8 der ISO-14155</w:t>
      </w:r>
      <w:r w:rsidR="00696E69">
        <w:t>:2020</w:t>
      </w:r>
      <w:r w:rsidRPr="00170C47">
        <w:t xml:space="preserve"> muss der Prüfer das SAE an den Sponsor und gegebenenfalls an</w:t>
      </w:r>
      <w:r w:rsidR="00170C47" w:rsidRPr="00170C47">
        <w:t xml:space="preserve"> die</w:t>
      </w:r>
      <w:r w:rsidRPr="00170C47">
        <w:t xml:space="preserve"> Ethikkommissionen und </w:t>
      </w:r>
      <w:r w:rsidR="00170C47" w:rsidRPr="00170C47">
        <w:t xml:space="preserve">die </w:t>
      </w:r>
      <w:r w:rsidR="00BF1937" w:rsidRPr="00170C47">
        <w:t xml:space="preserve">Bundesoberbehörde </w:t>
      </w:r>
      <w:r w:rsidRPr="00170C47">
        <w:t>melden</w:t>
      </w:r>
      <w:r w:rsidR="00F43C9A" w:rsidRPr="00170C47">
        <w:t xml:space="preserve"> z.B. bei IITs.</w:t>
      </w:r>
      <w:r w:rsidR="00DC4B3E" w:rsidRPr="00170C47">
        <w:t xml:space="preserve"> </w:t>
      </w:r>
      <w:r w:rsidR="00170C47" w:rsidRPr="00170C47">
        <w:t>In der Regel</w:t>
      </w:r>
      <w:r w:rsidR="00A71EB3" w:rsidRPr="00170C47">
        <w:rPr>
          <w:b/>
          <w:bCs/>
        </w:rPr>
        <w:t xml:space="preserve"> </w:t>
      </w:r>
      <w:r w:rsidR="00DC4B3E" w:rsidRPr="00170C47">
        <w:t xml:space="preserve">veranlasst der Sponsor die Meldung an die zuständigen Ethikkommissionen und </w:t>
      </w:r>
      <w:r w:rsidR="00170C47">
        <w:t>an die Bundesoberb</w:t>
      </w:r>
      <w:r w:rsidR="00DC4B3E" w:rsidRPr="00170C47">
        <w:t>ehörden.</w:t>
      </w:r>
    </w:p>
    <w:p w14:paraId="14943843" w14:textId="551A4642" w:rsidR="00AB5E88" w:rsidRDefault="00AB5E88" w:rsidP="00AB5E88">
      <w:pPr>
        <w:pStyle w:val="KeinLeerraum"/>
        <w:ind w:left="360"/>
        <w:rPr>
          <w:highlight w:val="yellow"/>
        </w:rPr>
      </w:pPr>
      <w:r w:rsidRPr="00170C47">
        <w:rPr>
          <w:b/>
          <w:bCs/>
        </w:rPr>
        <w:t>CAVE:</w:t>
      </w:r>
      <w:r w:rsidRPr="00170C47">
        <w:t xml:space="preserve"> Vorgaben des Prüfplans der Studie beachten!</w:t>
      </w:r>
      <w:r>
        <w:t xml:space="preserve"> </w:t>
      </w:r>
    </w:p>
    <w:p w14:paraId="3680D119" w14:textId="15ACFC7F" w:rsidR="00AB5E88" w:rsidRDefault="00AB5E88" w:rsidP="00AB5E88">
      <w:pPr>
        <w:pStyle w:val="KeinLeerraum"/>
        <w:ind w:left="360"/>
      </w:pPr>
    </w:p>
    <w:p w14:paraId="43B5EE53" w14:textId="39B5ACB5" w:rsidR="00D82871" w:rsidRPr="00D82871" w:rsidRDefault="00833461" w:rsidP="00833461">
      <w:pPr>
        <w:pStyle w:val="berschrift2"/>
      </w:pPr>
      <w:bookmarkStart w:id="8" w:name="_Toc144730162"/>
      <w:r>
        <w:t xml:space="preserve">5.1 </w:t>
      </w:r>
      <w:r w:rsidR="00D82871" w:rsidRPr="00D82871">
        <w:t>Stud</w:t>
      </w:r>
      <w:r w:rsidR="00B502EA">
        <w:t>ienko</w:t>
      </w:r>
      <w:r w:rsidR="00D82871" w:rsidRPr="00D82871">
        <w:t>o</w:t>
      </w:r>
      <w:r w:rsidR="00B502EA">
        <w:t>rdinato</w:t>
      </w:r>
      <w:r w:rsidR="00D82871" w:rsidRPr="00D82871">
        <w:t>r</w:t>
      </w:r>
      <w:bookmarkEnd w:id="8"/>
    </w:p>
    <w:p w14:paraId="07319252" w14:textId="2EE48F42" w:rsidR="00D82871" w:rsidRDefault="00D82871" w:rsidP="00D82871">
      <w:pPr>
        <w:pStyle w:val="KeinLeerraum"/>
        <w:numPr>
          <w:ilvl w:val="2"/>
          <w:numId w:val="5"/>
        </w:numPr>
      </w:pPr>
      <w:r>
        <w:t>AEs/ SAEs wurde durch Stu</w:t>
      </w:r>
      <w:r w:rsidR="00B502EA">
        <w:t>dienkoordinat</w:t>
      </w:r>
      <w:r>
        <w:t xml:space="preserve">or erkannt. </w:t>
      </w:r>
    </w:p>
    <w:p w14:paraId="3A444A70" w14:textId="2915BE86" w:rsidR="00D82871" w:rsidRDefault="00D82871" w:rsidP="00D67A38">
      <w:pPr>
        <w:pStyle w:val="KeinLeerraum"/>
        <w:numPr>
          <w:ilvl w:val="2"/>
          <w:numId w:val="5"/>
        </w:numPr>
      </w:pPr>
      <w:r>
        <w:t xml:space="preserve">Info an </w:t>
      </w:r>
      <w:r w:rsidR="00F05581">
        <w:t xml:space="preserve">PI/ </w:t>
      </w:r>
      <w:r w:rsidR="00C42CDB">
        <w:t>Prüf</w:t>
      </w:r>
      <w:r>
        <w:t xml:space="preserve">arzt </w:t>
      </w:r>
      <w:r w:rsidR="003C67ED">
        <w:t>unverzüglich</w:t>
      </w:r>
    </w:p>
    <w:p w14:paraId="3F1777B9" w14:textId="05B1D42B" w:rsidR="00D67A38" w:rsidRDefault="00D67A38" w:rsidP="00D67A38">
      <w:pPr>
        <w:pStyle w:val="KeinLeerraum"/>
        <w:numPr>
          <w:ilvl w:val="2"/>
          <w:numId w:val="5"/>
        </w:numPr>
      </w:pPr>
      <w:r>
        <w:t xml:space="preserve">Nachdem Punkt </w:t>
      </w:r>
      <w:r w:rsidR="00F05581" w:rsidRPr="00461319">
        <w:rPr>
          <w:color w:val="auto"/>
        </w:rPr>
        <w:t>5.2.2.</w:t>
      </w:r>
      <w:r w:rsidRPr="00461319">
        <w:rPr>
          <w:color w:val="auto"/>
        </w:rPr>
        <w:t xml:space="preserve"> </w:t>
      </w:r>
      <w:r>
        <w:t>abgeschlossen wurde/ parallel zu Punkt</w:t>
      </w:r>
      <w:r w:rsidR="00F05581">
        <w:t xml:space="preserve"> </w:t>
      </w:r>
      <w:r w:rsidR="00F05581" w:rsidRPr="00461319">
        <w:rPr>
          <w:color w:val="auto"/>
        </w:rPr>
        <w:t>5.2.2</w:t>
      </w:r>
      <w:r w:rsidRPr="00461319">
        <w:rPr>
          <w:color w:val="auto"/>
        </w:rPr>
        <w:t xml:space="preserve"> </w:t>
      </w:r>
      <w:r>
        <w:t xml:space="preserve">AE Log </w:t>
      </w:r>
      <w:r w:rsidR="00397C3D">
        <w:t xml:space="preserve">AE/ SAE Beschreibung </w:t>
      </w:r>
      <w:r w:rsidR="003304D5">
        <w:t>ausfüllen</w:t>
      </w:r>
      <w:r>
        <w:t>.</w:t>
      </w:r>
      <w:r>
        <w:sym w:font="Wingdings" w:char="F0E0"/>
      </w:r>
      <w:r>
        <w:t xml:space="preserve"> </w:t>
      </w:r>
      <w:r w:rsidR="003C67ED">
        <w:t>Daten auf dem Log</w:t>
      </w:r>
      <w:r w:rsidR="003304D5">
        <w:t xml:space="preserve"> </w:t>
      </w:r>
      <w:r>
        <w:t>m</w:t>
      </w:r>
      <w:r w:rsidR="003C67ED">
        <w:t>ü</w:t>
      </w:r>
      <w:r>
        <w:t>ss</w:t>
      </w:r>
      <w:r w:rsidR="003C67ED">
        <w:t>en</w:t>
      </w:r>
      <w:r>
        <w:t xml:space="preserve"> vom </w:t>
      </w:r>
      <w:r w:rsidR="00F05581">
        <w:t xml:space="preserve">PI/ </w:t>
      </w:r>
      <w:r>
        <w:t xml:space="preserve">Prüfarzt </w:t>
      </w:r>
      <w:r w:rsidR="00F05581">
        <w:t xml:space="preserve">mit einer Unterschrift </w:t>
      </w:r>
      <w:r>
        <w:t>bestätigt werden</w:t>
      </w:r>
      <w:r w:rsidR="003304D5">
        <w:t>.</w:t>
      </w:r>
    </w:p>
    <w:p w14:paraId="157C9701" w14:textId="02C02B54" w:rsidR="00D67A38" w:rsidRDefault="00D67A38" w:rsidP="00D67A38">
      <w:pPr>
        <w:pStyle w:val="KeinLeerraum"/>
        <w:numPr>
          <w:ilvl w:val="2"/>
          <w:numId w:val="5"/>
        </w:numPr>
      </w:pPr>
      <w:r>
        <w:t xml:space="preserve">Übertagung der AEs/ SAEs in </w:t>
      </w:r>
      <w:r w:rsidR="00DF4BA9">
        <w:t>E</w:t>
      </w:r>
      <w:r>
        <w:t>DC</w:t>
      </w:r>
    </w:p>
    <w:p w14:paraId="5A8A38FD" w14:textId="4133563C" w:rsidR="003304D5" w:rsidRPr="00170C47" w:rsidRDefault="003304D5" w:rsidP="00D67A38">
      <w:pPr>
        <w:pStyle w:val="KeinLeerraum"/>
        <w:numPr>
          <w:ilvl w:val="2"/>
          <w:numId w:val="5"/>
        </w:numPr>
      </w:pPr>
      <w:r>
        <w:t xml:space="preserve">Alle Unterlagen im Zusammenhang mit der </w:t>
      </w:r>
      <w:r w:rsidR="00397C3D">
        <w:t xml:space="preserve">AE/ </w:t>
      </w:r>
      <w:r>
        <w:t xml:space="preserve">SAE in die Patienten Akte ablegen. Dies beinhaltet z.B. </w:t>
      </w:r>
      <w:r w:rsidRPr="00442643">
        <w:t>Entlass</w:t>
      </w:r>
      <w:r w:rsidR="00E36867" w:rsidRPr="00442643">
        <w:t>ungs</w:t>
      </w:r>
      <w:r w:rsidRPr="00442643">
        <w:t>brief,</w:t>
      </w:r>
      <w:r>
        <w:t xml:space="preserve"> OP-Bericht, Kumulativ-Bericht Laborbefunde</w:t>
      </w:r>
      <w:r w:rsidR="00652810">
        <w:t xml:space="preserve">, </w:t>
      </w:r>
      <w:r w:rsidR="00652810" w:rsidRPr="00170C47">
        <w:t>Autopsie Bericht, Sterbeurkunde</w:t>
      </w:r>
      <w:r w:rsidR="00F10F02" w:rsidRPr="00170C47">
        <w:t xml:space="preserve"> etc.,</w:t>
      </w:r>
      <w:r w:rsidRPr="00170C47">
        <w:t xml:space="preserve"> ggf. </w:t>
      </w:r>
      <w:r w:rsidRPr="00170C47">
        <w:rPr>
          <w:u w:val="single"/>
        </w:rPr>
        <w:t>verblindet</w:t>
      </w:r>
      <w:r w:rsidR="00065603" w:rsidRPr="00170C47">
        <w:rPr>
          <w:u w:val="single"/>
        </w:rPr>
        <w:t xml:space="preserve">/ </w:t>
      </w:r>
      <w:r w:rsidR="00D53CC5" w:rsidRPr="00170C47">
        <w:rPr>
          <w:rFonts w:cs="Arial"/>
          <w:color w:val="000000"/>
          <w:sz w:val="21"/>
          <w:szCs w:val="21"/>
          <w:u w:val="single"/>
          <w:shd w:val="clear" w:color="auto" w:fill="FFFFFF"/>
        </w:rPr>
        <w:t>pseudonymisiert</w:t>
      </w:r>
      <w:r w:rsidR="00D53CC5" w:rsidRPr="00170C47">
        <w:t xml:space="preserve"> </w:t>
      </w:r>
      <w:r w:rsidRPr="00170C47">
        <w:t>an den Sponsor weiterleiten.</w:t>
      </w:r>
    </w:p>
    <w:p w14:paraId="27D7CA1B" w14:textId="1672C724" w:rsidR="00D82871" w:rsidRDefault="00D82871" w:rsidP="00D82871">
      <w:pPr>
        <w:pStyle w:val="KeinLeerraum"/>
      </w:pPr>
    </w:p>
    <w:p w14:paraId="64A3E2C8" w14:textId="09AF63D7" w:rsidR="00D82871" w:rsidRPr="00D82871" w:rsidRDefault="00833461" w:rsidP="00833461">
      <w:pPr>
        <w:pStyle w:val="berschrift2"/>
      </w:pPr>
      <w:bookmarkStart w:id="9" w:name="_Toc144730163"/>
      <w:r>
        <w:t xml:space="preserve">5.2 </w:t>
      </w:r>
      <w:r w:rsidR="00B502EA">
        <w:t xml:space="preserve">PI/ </w:t>
      </w:r>
      <w:r w:rsidR="00D82871" w:rsidRPr="00D82871">
        <w:t>Prüfarzt</w:t>
      </w:r>
      <w:bookmarkEnd w:id="9"/>
    </w:p>
    <w:p w14:paraId="39AC8209" w14:textId="3C1DD948" w:rsidR="00D82871" w:rsidRDefault="00D82871" w:rsidP="00D82871">
      <w:pPr>
        <w:pStyle w:val="KeinLeerraum"/>
      </w:pPr>
      <w:r>
        <w:t xml:space="preserve">5.2.1. AEs/ SAEs wurde durch </w:t>
      </w:r>
      <w:r w:rsidR="005764C7">
        <w:t>PI/ Prüf</w:t>
      </w:r>
      <w:r>
        <w:t xml:space="preserve">arzt erkannt. </w:t>
      </w:r>
    </w:p>
    <w:p w14:paraId="504D0817" w14:textId="3C0A8905" w:rsidR="00B14AE1" w:rsidRDefault="00D82871" w:rsidP="00D82871">
      <w:pPr>
        <w:pStyle w:val="KeinLeerraum"/>
      </w:pPr>
      <w:r>
        <w:t>5.2.2</w:t>
      </w:r>
      <w:r w:rsidR="00B14AE1">
        <w:t xml:space="preserve">. </w:t>
      </w:r>
      <w:r w:rsidR="005764C7">
        <w:t>Meldung</w:t>
      </w:r>
      <w:r w:rsidR="00B14AE1">
        <w:t xml:space="preserve"> </w:t>
      </w:r>
      <w:r w:rsidR="005764C7">
        <w:t>von</w:t>
      </w:r>
      <w:r w:rsidR="00B14AE1">
        <w:t xml:space="preserve"> AEs/ SAEs</w:t>
      </w:r>
      <w:r w:rsidR="00461319">
        <w:t xml:space="preserve"> beinhalten</w:t>
      </w:r>
      <w:r w:rsidR="00B14AE1">
        <w:t>.</w:t>
      </w:r>
    </w:p>
    <w:p w14:paraId="424308A8" w14:textId="2F4AC1FC" w:rsidR="005942FC" w:rsidRDefault="00B14AE1" w:rsidP="00B14AE1">
      <w:pPr>
        <w:pStyle w:val="KeinLeerraum"/>
        <w:ind w:firstLine="360"/>
      </w:pPr>
      <w:r>
        <w:t xml:space="preserve">5.2.2.1. </w:t>
      </w:r>
      <w:r w:rsidR="00AB3582">
        <w:t xml:space="preserve"> </w:t>
      </w:r>
      <w:r w:rsidR="005942FC">
        <w:t>Start- und</w:t>
      </w:r>
      <w:r w:rsidR="003C67ED">
        <w:t xml:space="preserve"> ggf.</w:t>
      </w:r>
      <w:r w:rsidR="005942FC">
        <w:t xml:space="preserve"> Enddatum</w:t>
      </w:r>
      <w:r w:rsidR="004438DA">
        <w:t xml:space="preserve"> des Ereignisses</w:t>
      </w:r>
    </w:p>
    <w:p w14:paraId="459C09E8" w14:textId="4E924BDE" w:rsidR="005942FC" w:rsidRDefault="005942FC" w:rsidP="00B14AE1">
      <w:pPr>
        <w:pStyle w:val="KeinLeerraum"/>
        <w:ind w:firstLine="360"/>
      </w:pPr>
      <w:r>
        <w:t xml:space="preserve">5.2.2.2. </w:t>
      </w:r>
      <w:r w:rsidR="00AB3582">
        <w:t xml:space="preserve"> </w:t>
      </w:r>
      <w:r w:rsidRPr="005942FC">
        <w:t xml:space="preserve">Diagnose (oder – falls </w:t>
      </w:r>
      <w:r w:rsidR="00834DB3">
        <w:t xml:space="preserve">es </w:t>
      </w:r>
      <w:r w:rsidRPr="005942FC">
        <w:t>noch keine gibt – genaue Symptome/</w:t>
      </w:r>
      <w:r w:rsidR="002B2EAF">
        <w:t xml:space="preserve"> </w:t>
      </w:r>
      <w:r w:rsidRPr="005942FC">
        <w:t>Werte</w:t>
      </w:r>
      <w:r w:rsidR="00834DB3">
        <w:t xml:space="preserve"> benennen</w:t>
      </w:r>
      <w:r w:rsidRPr="005942FC">
        <w:t>)</w:t>
      </w:r>
    </w:p>
    <w:p w14:paraId="71C964CA" w14:textId="254476E7" w:rsidR="005942FC" w:rsidRDefault="005942FC" w:rsidP="00B14AE1">
      <w:pPr>
        <w:pStyle w:val="KeinLeerraum"/>
        <w:ind w:firstLine="360"/>
      </w:pPr>
      <w:r>
        <w:t xml:space="preserve">5.2.2.3. </w:t>
      </w:r>
      <w:r w:rsidR="00AB3582">
        <w:t xml:space="preserve"> </w:t>
      </w:r>
      <w:r w:rsidR="002B2EAF">
        <w:t xml:space="preserve">Besteht </w:t>
      </w:r>
      <w:r w:rsidR="002B2EAF" w:rsidRPr="00461319">
        <w:t xml:space="preserve">ein </w:t>
      </w:r>
      <w:r w:rsidR="0075083A" w:rsidRPr="00461319">
        <w:t>kausale</w:t>
      </w:r>
      <w:r w:rsidR="00A067E9" w:rsidRPr="00461319">
        <w:t>r</w:t>
      </w:r>
      <w:r w:rsidR="0075083A">
        <w:t xml:space="preserve"> </w:t>
      </w:r>
      <w:r>
        <w:t>Zusammenhang mit IMP</w:t>
      </w:r>
      <w:r w:rsidR="002B2EAF">
        <w:t>?</w:t>
      </w:r>
    </w:p>
    <w:p w14:paraId="301B4F35" w14:textId="396736E1" w:rsidR="00D67A38" w:rsidRDefault="005942FC" w:rsidP="00792E1C">
      <w:pPr>
        <w:pStyle w:val="KeinLeerraum"/>
        <w:ind w:left="360"/>
      </w:pPr>
      <w:r>
        <w:t>5.2.2.4.</w:t>
      </w:r>
      <w:r w:rsidR="00AB3582">
        <w:t xml:space="preserve"> </w:t>
      </w:r>
      <w:r>
        <w:t>CTC</w:t>
      </w:r>
      <w:r w:rsidR="00397C3D">
        <w:t>AE</w:t>
      </w:r>
      <w:r>
        <w:t xml:space="preserve"> Grad </w:t>
      </w:r>
      <w:r w:rsidR="002B2EAF">
        <w:t xml:space="preserve">festlegen </w:t>
      </w:r>
      <w:r w:rsidR="002A6CE1">
        <w:sym w:font="Wingdings" w:char="F0E0"/>
      </w:r>
      <w:r w:rsidR="00D67A38">
        <w:t xml:space="preserve"> </w:t>
      </w:r>
      <w:r w:rsidR="007D6212">
        <w:t xml:space="preserve">der Schweregrad des Ereignisses wird in der </w:t>
      </w:r>
      <w:r w:rsidR="00D67A38">
        <w:t xml:space="preserve">SOP </w:t>
      </w:r>
      <w:r w:rsidR="00792E1C">
        <w:br/>
        <w:t xml:space="preserve"> </w:t>
      </w:r>
      <w:r w:rsidR="00792E1C">
        <w:tab/>
        <w:t xml:space="preserve">      </w:t>
      </w:r>
      <w:r w:rsidR="00B64F02">
        <w:t xml:space="preserve"> </w:t>
      </w:r>
      <w:r w:rsidR="00792E1C">
        <w:t xml:space="preserve"> </w:t>
      </w:r>
      <w:r w:rsidR="00D67A38">
        <w:t>„Bestimmung des CTC</w:t>
      </w:r>
      <w:r w:rsidR="00397C3D">
        <w:t>AE</w:t>
      </w:r>
      <w:r w:rsidR="00D67A38">
        <w:t xml:space="preserve"> Grades“ </w:t>
      </w:r>
      <w:r w:rsidR="007D6212">
        <w:t>beschrieben</w:t>
      </w:r>
      <w:r w:rsidR="00696E69">
        <w:t xml:space="preserve"> </w:t>
      </w:r>
      <w:r w:rsidR="00696E69" w:rsidRPr="00696E69">
        <w:rPr>
          <w:b/>
          <w:bCs/>
        </w:rPr>
        <w:t>CAVE</w:t>
      </w:r>
      <w:r w:rsidR="00696E69">
        <w:t>: Version studienspezifisch</w:t>
      </w:r>
    </w:p>
    <w:p w14:paraId="69D15B25" w14:textId="47EBA183" w:rsidR="00D67A38" w:rsidRDefault="00D67A38" w:rsidP="004A56C2">
      <w:pPr>
        <w:pStyle w:val="KeinLeerraum"/>
        <w:ind w:left="360"/>
      </w:pPr>
      <w:r>
        <w:t>5.2.2.5.</w:t>
      </w:r>
      <w:r w:rsidR="004A56C2">
        <w:t xml:space="preserve"> </w:t>
      </w:r>
      <w:r w:rsidR="002B2EAF">
        <w:t>Welche</w:t>
      </w:r>
      <w:r w:rsidR="000E670D">
        <w:t xml:space="preserve"> Begleitm</w:t>
      </w:r>
      <w:r w:rsidR="002B2EAF">
        <w:t>edikamente</w:t>
      </w:r>
      <w:r w:rsidR="000E670D">
        <w:t xml:space="preserve"> wurden,</w:t>
      </w:r>
      <w:r w:rsidR="002B2EAF">
        <w:t xml:space="preserve"> </w:t>
      </w:r>
      <w:r w:rsidR="000E670D">
        <w:t>im Zusammenhang mit AE/ SAE Ereignis</w:t>
      </w:r>
      <w:r w:rsidR="002B2EAF">
        <w:t xml:space="preserve"> </w:t>
      </w:r>
      <w:r w:rsidR="004A56C2">
        <w:br/>
        <w:t xml:space="preserve"> </w:t>
      </w:r>
      <w:r w:rsidR="004A56C2">
        <w:tab/>
        <w:t xml:space="preserve">      </w:t>
      </w:r>
      <w:r w:rsidR="00AB3582">
        <w:t xml:space="preserve"> </w:t>
      </w:r>
      <w:r w:rsidR="004A56C2">
        <w:t xml:space="preserve"> </w:t>
      </w:r>
      <w:r w:rsidR="002B2EAF">
        <w:t>verabreicht? Inklusive</w:t>
      </w:r>
      <w:r w:rsidR="00E34A95">
        <w:t xml:space="preserve"> Dokumentation der</w:t>
      </w:r>
      <w:r w:rsidR="002B2EAF">
        <w:t xml:space="preserve"> Dosis, </w:t>
      </w:r>
      <w:r w:rsidR="00E34A95">
        <w:t xml:space="preserve">der </w:t>
      </w:r>
      <w:r w:rsidR="002B2EAF">
        <w:t>Häufigkeit</w:t>
      </w:r>
      <w:r w:rsidR="000E670D">
        <w:t xml:space="preserve"> pro Tag, </w:t>
      </w:r>
      <w:r w:rsidR="00E34A95">
        <w:t>sowie</w:t>
      </w:r>
      <w:r w:rsidR="002B2EAF">
        <w:t xml:space="preserve"> </w:t>
      </w:r>
      <w:r w:rsidR="004A56C2">
        <w:br/>
        <w:t xml:space="preserve"> </w:t>
      </w:r>
      <w:r w:rsidR="004A56C2">
        <w:tab/>
        <w:t xml:space="preserve">     </w:t>
      </w:r>
      <w:r w:rsidR="00AB3582">
        <w:t xml:space="preserve"> </w:t>
      </w:r>
      <w:r w:rsidR="004A56C2">
        <w:t xml:space="preserve">  </w:t>
      </w:r>
      <w:r w:rsidR="00442643">
        <w:t>Beginn- und ggf. Enddatum</w:t>
      </w:r>
      <w:r w:rsidR="002B2EAF">
        <w:t xml:space="preserve"> der </w:t>
      </w:r>
      <w:r w:rsidR="00442643">
        <w:t>Therapie</w:t>
      </w:r>
      <w:r w:rsidR="002B2EAF">
        <w:t>.</w:t>
      </w:r>
      <w:r w:rsidR="000E670D">
        <w:t xml:space="preserve"> </w:t>
      </w:r>
    </w:p>
    <w:p w14:paraId="77C42863" w14:textId="7AAC874F" w:rsidR="00474D4D" w:rsidRDefault="00474D4D" w:rsidP="004A56C2">
      <w:pPr>
        <w:pStyle w:val="KeinLeerraum"/>
        <w:ind w:left="360"/>
      </w:pPr>
      <w:r>
        <w:lastRenderedPageBreak/>
        <w:t xml:space="preserve">5.2.2.6. Wie beeinflussen die Begleitmedikation das SAE? Verstärkung oder Linderung </w:t>
      </w:r>
      <w:r w:rsidR="00AB3582">
        <w:br/>
        <w:t xml:space="preserve"> </w:t>
      </w:r>
      <w:r w:rsidR="00AB3582">
        <w:tab/>
        <w:t xml:space="preserve">        </w:t>
      </w:r>
      <w:r>
        <w:t>der</w:t>
      </w:r>
      <w:r w:rsidR="00AB3582">
        <w:t xml:space="preserve"> </w:t>
      </w:r>
      <w:r>
        <w:t>SAE-</w:t>
      </w:r>
      <w:r w:rsidRPr="00461319">
        <w:rPr>
          <w:rFonts w:cs="Arial"/>
          <w:shd w:val="clear" w:color="auto" w:fill="FFFFFF"/>
        </w:rPr>
        <w:t> </w:t>
      </w:r>
      <w:r>
        <w:t>Symptomatik? Mögliche Wechselwirkung zwischen IMP und</w:t>
      </w:r>
      <w:r w:rsidR="00AB3582">
        <w:t xml:space="preserve"> </w:t>
      </w:r>
      <w:r w:rsidR="00AB3582">
        <w:br/>
        <w:t xml:space="preserve"> </w:t>
      </w:r>
      <w:r w:rsidR="00AB3582">
        <w:tab/>
        <w:t xml:space="preserve">        </w:t>
      </w:r>
      <w:r>
        <w:t>Begleitmedikation? Verstärkt das IMP chronische Erkrankung</w:t>
      </w:r>
      <w:r w:rsidR="003C67ED">
        <w:t>en</w:t>
      </w:r>
      <w:r>
        <w:t>?</w:t>
      </w:r>
    </w:p>
    <w:p w14:paraId="7EC99C1B" w14:textId="35A96B53" w:rsidR="00D67A38" w:rsidRDefault="00D67A38" w:rsidP="00B14AE1">
      <w:pPr>
        <w:pStyle w:val="KeinLeerraum"/>
        <w:ind w:firstLine="360"/>
      </w:pPr>
      <w:r w:rsidRPr="00170C47">
        <w:t>5.2.2.</w:t>
      </w:r>
      <w:r w:rsidR="00474D4D">
        <w:t>7</w:t>
      </w:r>
      <w:r w:rsidRPr="00170C47">
        <w:t>.</w:t>
      </w:r>
      <w:r w:rsidR="00AB3582">
        <w:t xml:space="preserve"> </w:t>
      </w:r>
      <w:r w:rsidR="00442643" w:rsidRPr="00170C47">
        <w:t xml:space="preserve"> </w:t>
      </w:r>
      <w:r w:rsidR="00390539" w:rsidRPr="00170C47">
        <w:t>Wie wurde auf die SAE/ AE reagiert in Bezug auf die klinische</w:t>
      </w:r>
      <w:r w:rsidR="00390539">
        <w:t xml:space="preserve"> Studie? Wurde das </w:t>
      </w:r>
      <w:r w:rsidR="004A56C2">
        <w:br/>
        <w:t xml:space="preserve"> </w:t>
      </w:r>
      <w:r w:rsidR="004A56C2">
        <w:tab/>
        <w:t xml:space="preserve">       </w:t>
      </w:r>
      <w:r w:rsidR="00AB3582">
        <w:t xml:space="preserve"> </w:t>
      </w:r>
      <w:r w:rsidR="00390539">
        <w:t>IMP pausiert, weitergegeben oder abgesetzt?</w:t>
      </w:r>
      <w:r w:rsidR="00442643">
        <w:t xml:space="preserve"> Erfolgten zusätzliche Maßnahmen </w:t>
      </w:r>
      <w:r w:rsidR="004A56C2">
        <w:br/>
        <w:t xml:space="preserve"> </w:t>
      </w:r>
      <w:r w:rsidR="004A56C2">
        <w:tab/>
        <w:t xml:space="preserve">       </w:t>
      </w:r>
      <w:r w:rsidR="00AB3582">
        <w:t xml:space="preserve"> </w:t>
      </w:r>
      <w:r w:rsidR="00442643">
        <w:t>in Bezug auf den Event z.B. OPs, oder Bildgebung</w:t>
      </w:r>
      <w:r w:rsidR="003C67ED">
        <w:t xml:space="preserve"> etc.</w:t>
      </w:r>
    </w:p>
    <w:p w14:paraId="3D752104" w14:textId="1F77C5E7" w:rsidR="00BF1937" w:rsidRPr="00BF1937" w:rsidRDefault="00BF1937" w:rsidP="00474D4D">
      <w:pPr>
        <w:pStyle w:val="KeinLeerraum"/>
        <w:ind w:left="360"/>
      </w:pPr>
      <w:r w:rsidRPr="00474D4D">
        <w:t>5.2.2.</w:t>
      </w:r>
      <w:r w:rsidR="00474D4D" w:rsidRPr="00474D4D">
        <w:t>8</w:t>
      </w:r>
      <w:r w:rsidRPr="00474D4D">
        <w:t xml:space="preserve"> </w:t>
      </w:r>
      <w:r w:rsidR="00AB3582">
        <w:t xml:space="preserve"> </w:t>
      </w:r>
      <w:r w:rsidRPr="00474D4D">
        <w:t xml:space="preserve">Bei schwerwiegenden </w:t>
      </w:r>
      <w:r w:rsidR="00474D4D" w:rsidRPr="00474D4D">
        <w:t>SAE</w:t>
      </w:r>
      <w:r w:rsidRPr="00474D4D">
        <w:t>, die eine akute Gefährdung des Patienten darstellen,</w:t>
      </w:r>
      <w:r w:rsidR="00474D4D">
        <w:br/>
      </w:r>
      <w:r w:rsidRPr="00474D4D">
        <w:t xml:space="preserve"> </w:t>
      </w:r>
      <w:r w:rsidR="00474D4D">
        <w:tab/>
        <w:t xml:space="preserve">      </w:t>
      </w:r>
      <w:r w:rsidR="00AB3582">
        <w:t xml:space="preserve"> </w:t>
      </w:r>
      <w:r w:rsidR="00B64F02">
        <w:t xml:space="preserve"> </w:t>
      </w:r>
      <w:r w:rsidR="003C67ED">
        <w:t>muss</w:t>
      </w:r>
      <w:r w:rsidRPr="00474D4D">
        <w:t xml:space="preserve"> </w:t>
      </w:r>
      <w:r w:rsidR="00474D4D">
        <w:t>ggf.</w:t>
      </w:r>
      <w:r w:rsidRPr="00474D4D">
        <w:t xml:space="preserve"> eine </w:t>
      </w:r>
      <w:proofErr w:type="spellStart"/>
      <w:r w:rsidRPr="00474D4D">
        <w:t>Notfallentblindung</w:t>
      </w:r>
      <w:proofErr w:type="spellEnd"/>
      <w:r w:rsidRPr="00474D4D">
        <w:t xml:space="preserve"> durchgeführt werden. </w:t>
      </w:r>
      <w:r w:rsidR="009F1551" w:rsidRPr="00474D4D">
        <w:t>Diese Entscheidung</w:t>
      </w:r>
      <w:r w:rsidR="00C86597">
        <w:br/>
        <w:t xml:space="preserve">         </w:t>
      </w:r>
      <w:r w:rsidR="009F1551" w:rsidRPr="00474D4D">
        <w:t xml:space="preserve"> </w:t>
      </w:r>
      <w:r w:rsidR="00C86597">
        <w:t xml:space="preserve">    </w:t>
      </w:r>
      <w:r w:rsidR="009F1551" w:rsidRPr="00474D4D">
        <w:t>muss</w:t>
      </w:r>
      <w:r w:rsidR="00C86597">
        <w:t xml:space="preserve"> </w:t>
      </w:r>
      <w:r w:rsidR="009F1551" w:rsidRPr="00474D4D">
        <w:t>sorgfältig abgewogen werden und e</w:t>
      </w:r>
      <w:r w:rsidRPr="00474D4D">
        <w:t xml:space="preserve">rfolgt </w:t>
      </w:r>
      <w:r w:rsidR="00474D4D" w:rsidRPr="00474D4D">
        <w:t xml:space="preserve">immer nur </w:t>
      </w:r>
      <w:r w:rsidRPr="00474D4D">
        <w:t xml:space="preserve">in Absprache mit </w:t>
      </w:r>
      <w:r w:rsidR="00B64F02">
        <w:br/>
        <w:t xml:space="preserve"> </w:t>
      </w:r>
      <w:r w:rsidR="00B64F02">
        <w:tab/>
        <w:t xml:space="preserve">        </w:t>
      </w:r>
      <w:r w:rsidRPr="00474D4D">
        <w:t>dem Sponsor.</w:t>
      </w:r>
    </w:p>
    <w:p w14:paraId="458E0EE6" w14:textId="7C4ABF6E" w:rsidR="002613C1" w:rsidRDefault="00D67A38" w:rsidP="002E2B1A">
      <w:pPr>
        <w:pStyle w:val="KeinLeerraum"/>
        <w:ind w:firstLine="360"/>
      </w:pPr>
      <w:r>
        <w:t>5.2.2.</w:t>
      </w:r>
      <w:r w:rsidR="00474D4D" w:rsidRPr="00AB3582">
        <w:rPr>
          <w:color w:val="auto"/>
        </w:rPr>
        <w:t>9</w:t>
      </w:r>
      <w:r w:rsidRPr="00AB3582">
        <w:rPr>
          <w:color w:val="auto"/>
        </w:rPr>
        <w:t xml:space="preserve">. </w:t>
      </w:r>
      <w:proofErr w:type="spellStart"/>
      <w:r w:rsidRPr="00474D4D">
        <w:rPr>
          <w:color w:val="auto"/>
        </w:rPr>
        <w:t>Serious</w:t>
      </w:r>
      <w:proofErr w:type="spellEnd"/>
      <w:r w:rsidRPr="00474D4D">
        <w:rPr>
          <w:color w:val="auto"/>
        </w:rPr>
        <w:t>?</w:t>
      </w:r>
      <w:r w:rsidR="002A6CE1" w:rsidRPr="00474D4D">
        <w:rPr>
          <w:color w:val="auto"/>
        </w:rPr>
        <w:t xml:space="preserve"> </w:t>
      </w:r>
    </w:p>
    <w:p w14:paraId="643EEA27" w14:textId="7B5B43EC" w:rsidR="00D82871" w:rsidRDefault="00D67A38" w:rsidP="004A56C2">
      <w:pPr>
        <w:pStyle w:val="KeinLeerraum"/>
        <w:ind w:left="360"/>
      </w:pPr>
      <w:r>
        <w:t>5.2.2.</w:t>
      </w:r>
      <w:r w:rsidR="00474D4D">
        <w:t>10</w:t>
      </w:r>
      <w:r>
        <w:t>.</w:t>
      </w:r>
      <w:r w:rsidR="002E2B1A">
        <w:t>Mögliches</w:t>
      </w:r>
      <w:r>
        <w:t xml:space="preserve"> AESI?</w:t>
      </w:r>
      <w:r w:rsidR="002E2B1A">
        <w:t xml:space="preserve"> </w:t>
      </w:r>
      <w:r w:rsidR="002E2B1A">
        <w:sym w:font="Wingdings" w:char="F0E0"/>
      </w:r>
      <w:r w:rsidR="002E2B1A">
        <w:t xml:space="preserve"> Info Protokoll </w:t>
      </w:r>
      <w:r w:rsidR="002E2B1A" w:rsidRPr="006E55CE">
        <w:rPr>
          <w:b/>
          <w:bCs/>
        </w:rPr>
        <w:t>CAVE</w:t>
      </w:r>
      <w:r w:rsidR="002E2B1A">
        <w:t>: Meldung innerhalb von 24</w:t>
      </w:r>
      <w:r w:rsidR="00442643">
        <w:t xml:space="preserve"> </w:t>
      </w:r>
      <w:r w:rsidR="002E2B1A">
        <w:t>Stunden</w:t>
      </w:r>
      <w:r w:rsidR="00D82871">
        <w:t xml:space="preserve"> </w:t>
      </w:r>
      <w:r w:rsidR="00442643">
        <w:t>nach</w:t>
      </w:r>
      <w:r w:rsidR="002613C1">
        <w:t xml:space="preserve"> </w:t>
      </w:r>
      <w:r w:rsidR="00AB3582">
        <w:br/>
        <w:t xml:space="preserve"> </w:t>
      </w:r>
      <w:r w:rsidR="00AB3582">
        <w:tab/>
        <w:t xml:space="preserve">        </w:t>
      </w:r>
      <w:r w:rsidR="00442643">
        <w:t xml:space="preserve">Kenntnisnahme </w:t>
      </w:r>
    </w:p>
    <w:p w14:paraId="49A78CF0" w14:textId="44AB2D00" w:rsidR="000B23E8" w:rsidRDefault="000B23E8" w:rsidP="000B23E8">
      <w:pPr>
        <w:pStyle w:val="KeinLeerraum"/>
      </w:pPr>
      <w:r>
        <w:t>5.2.3</w:t>
      </w:r>
      <w:r w:rsidR="00421A9A">
        <w:t>.</w:t>
      </w:r>
      <w:r w:rsidR="003304D5">
        <w:t xml:space="preserve"> Wichtige Follow-Up:</w:t>
      </w:r>
      <w:r w:rsidR="00834DB3">
        <w:t xml:space="preserve"> </w:t>
      </w:r>
      <w:r w:rsidR="007D6212">
        <w:t>M</w:t>
      </w:r>
      <w:r w:rsidR="00834DB3">
        <w:t>uss</w:t>
      </w:r>
      <w:r w:rsidR="007D6212">
        <w:t xml:space="preserve"> laut Protokoll gemeldet werden, für viele Protokolle besteht </w:t>
      </w:r>
      <w:r w:rsidR="00266E87">
        <w:br/>
        <w:t xml:space="preserve">       </w:t>
      </w:r>
      <w:r w:rsidR="00421A9A">
        <w:t xml:space="preserve"> </w:t>
      </w:r>
      <w:r w:rsidR="00266E87">
        <w:t xml:space="preserve">   </w:t>
      </w:r>
      <w:r w:rsidR="007D6212">
        <w:t>eine</w:t>
      </w:r>
      <w:r w:rsidR="00834DB3">
        <w:t xml:space="preserve"> 24 Stunden </w:t>
      </w:r>
      <w:r w:rsidR="007D6212">
        <w:t>Frist</w:t>
      </w:r>
      <w:r w:rsidR="00834DB3">
        <w:t xml:space="preserve">. </w:t>
      </w:r>
      <w:r w:rsidR="00073554">
        <w:t xml:space="preserve">Die Einstufung in ein wichtiges Follow-Up obligiert dem </w:t>
      </w:r>
      <w:r w:rsidR="003C67ED">
        <w:t>Prüfa</w:t>
      </w:r>
      <w:r w:rsidR="00073554">
        <w:t>rzt.</w:t>
      </w:r>
    </w:p>
    <w:p w14:paraId="7CCD4F7A" w14:textId="2ACCBFB6" w:rsidR="006E55CE" w:rsidRDefault="006E55CE">
      <w:r>
        <w:br w:type="page"/>
      </w:r>
    </w:p>
    <w:p w14:paraId="2C642562" w14:textId="55C7E72D" w:rsidR="00063644" w:rsidRPr="00B40BAA" w:rsidRDefault="00063644" w:rsidP="00073554">
      <w:pPr>
        <w:pStyle w:val="KeinLeerraum"/>
        <w:rPr>
          <w:b/>
          <w:bCs/>
        </w:rPr>
      </w:pPr>
      <w:r w:rsidRPr="00B40BAA">
        <w:rPr>
          <w:b/>
          <w:bCs/>
        </w:rPr>
        <w:lastRenderedPageBreak/>
        <w:t>Schema: Meldepflichten Prüfer:</w:t>
      </w:r>
    </w:p>
    <w:p w14:paraId="1E3F1A98" w14:textId="6F681068" w:rsidR="00063644" w:rsidRDefault="00063644" w:rsidP="00073554">
      <w:pPr>
        <w:pStyle w:val="KeinLeerraum"/>
      </w:pPr>
      <w:r>
        <w:rPr>
          <w:noProof/>
        </w:rPr>
        <w:drawing>
          <wp:inline distT="0" distB="0" distL="0" distR="0" wp14:anchorId="62691CFC" wp14:editId="04798269">
            <wp:extent cx="4448049" cy="2780030"/>
            <wp:effectExtent l="0" t="0" r="0" b="1270"/>
            <wp:docPr id="735042239" name="Grafik 1" descr="Ein Bild, das Text, Screenshot, Software, Computer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42239" name="Grafik 1" descr="Ein Bild, das Text, Screenshot, Software, Computersymbol enthält.&#10;&#10;Automatisch generierte Beschreibung"/>
                    <pic:cNvPicPr/>
                  </pic:nvPicPr>
                  <pic:blipFill rotWithShape="1">
                    <a:blip r:embed="rId11"/>
                    <a:srcRect l="23811" t="31746" r="27248" b="13874"/>
                    <a:stretch/>
                  </pic:blipFill>
                  <pic:spPr bwMode="auto">
                    <a:xfrm>
                      <a:off x="0" y="0"/>
                      <a:ext cx="4456143" cy="278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20EC8" w14:textId="77777777" w:rsidR="00063644" w:rsidRPr="00063644" w:rsidRDefault="00063644" w:rsidP="00073554">
      <w:pPr>
        <w:pStyle w:val="KeinLeerraum"/>
        <w:rPr>
          <w:sz w:val="16"/>
          <w:szCs w:val="16"/>
        </w:rPr>
      </w:pPr>
    </w:p>
    <w:p w14:paraId="52A85CDF" w14:textId="77777777" w:rsidR="00063644" w:rsidRDefault="00063644" w:rsidP="00063644">
      <w:pPr>
        <w:pStyle w:val="KeinLeerraum"/>
        <w:jc w:val="left"/>
        <w:rPr>
          <w:sz w:val="16"/>
          <w:szCs w:val="16"/>
        </w:rPr>
      </w:pPr>
      <w:r w:rsidRPr="00063644">
        <w:rPr>
          <w:sz w:val="16"/>
          <w:szCs w:val="16"/>
        </w:rPr>
        <w:t>Grafik</w:t>
      </w:r>
      <w:r>
        <w:rPr>
          <w:sz w:val="16"/>
          <w:szCs w:val="16"/>
        </w:rPr>
        <w:t xml:space="preserve"> </w:t>
      </w:r>
      <w:r w:rsidRPr="00063644">
        <w:rPr>
          <w:sz w:val="16"/>
          <w:szCs w:val="16"/>
        </w:rPr>
        <w:t xml:space="preserve">entnommen aus: </w:t>
      </w:r>
    </w:p>
    <w:p w14:paraId="434CF833" w14:textId="640298AF" w:rsidR="00063644" w:rsidRPr="00063644" w:rsidRDefault="00063644" w:rsidP="00063644">
      <w:pPr>
        <w:pStyle w:val="KeinLeerraum"/>
        <w:jc w:val="left"/>
        <w:rPr>
          <w:sz w:val="16"/>
          <w:szCs w:val="16"/>
        </w:rPr>
      </w:pPr>
      <w:r w:rsidRPr="00063644">
        <w:rPr>
          <w:sz w:val="16"/>
          <w:szCs w:val="16"/>
        </w:rPr>
        <w:t>https://www.kompetenznetz-leukaemie.de/content/e53457/e56787/e54977/e56868/22_Schlenk_Patientensicherheit.pdf</w:t>
      </w:r>
    </w:p>
    <w:p w14:paraId="2D577660" w14:textId="77777777" w:rsidR="00063644" w:rsidRDefault="00063644" w:rsidP="00073554">
      <w:pPr>
        <w:pStyle w:val="KeinLeerraum"/>
      </w:pPr>
    </w:p>
    <w:p w14:paraId="445DE34D" w14:textId="70A48D86" w:rsidR="00073554" w:rsidRDefault="001B7F18" w:rsidP="00073554">
      <w:pPr>
        <w:pStyle w:val="KeinLeerraum"/>
      </w:pPr>
      <w:r>
        <w:t xml:space="preserve">Insgesamt ist darauf zu </w:t>
      </w:r>
      <w:r w:rsidR="00E36867">
        <w:t>a</w:t>
      </w:r>
      <w:r>
        <w:t>chten, dass</w:t>
      </w:r>
      <w:r w:rsidR="00073554">
        <w:t xml:space="preserve"> der komplette Verlauf von SAE detailliert in einen freien Text beschrieben w</w:t>
      </w:r>
      <w:r w:rsidR="002613C1">
        <w:t>ird</w:t>
      </w:r>
      <w:r w:rsidR="00073554">
        <w:t xml:space="preserve">. </w:t>
      </w:r>
      <w:r w:rsidR="00FA49B0">
        <w:t>Der zeitliche Ablauf</w:t>
      </w:r>
      <w:r w:rsidR="00073554">
        <w:t xml:space="preserve"> der Ereignisse ist zu dokumentieren, wann </w:t>
      </w:r>
      <w:r w:rsidR="002613C1">
        <w:t>und</w:t>
      </w:r>
      <w:r w:rsidR="00073554">
        <w:t xml:space="preserve"> wie wurde </w:t>
      </w:r>
      <w:r w:rsidR="002613C1">
        <w:t xml:space="preserve">AE/ </w:t>
      </w:r>
      <w:r w:rsidR="00073554">
        <w:t xml:space="preserve">SAE festgestellt, wann und wie hat das PZ von der </w:t>
      </w:r>
      <w:r w:rsidR="002613C1">
        <w:t xml:space="preserve">AE/ </w:t>
      </w:r>
      <w:r w:rsidR="00073554">
        <w:t>SAE erfahren, welche ärztliche Untersuchungen, Diagnose und Behandlungen erfolgten. Außerdem</w:t>
      </w:r>
      <w:r>
        <w:t>, muss</w:t>
      </w:r>
      <w:r w:rsidR="00073554">
        <w:t xml:space="preserve"> bei jeden neuen Ereignissen/ Erkenntnisse</w:t>
      </w:r>
      <w:r w:rsidR="00BC4239">
        <w:t>n</w:t>
      </w:r>
      <w:r w:rsidR="00073554">
        <w:t>/ Beobachtungen</w:t>
      </w:r>
      <w:r>
        <w:t xml:space="preserve"> in Bezug auf d</w:t>
      </w:r>
      <w:r w:rsidR="003C67ED">
        <w:t>as</w:t>
      </w:r>
      <w:r w:rsidR="00073554">
        <w:t xml:space="preserve"> SAE</w:t>
      </w:r>
      <w:r>
        <w:t xml:space="preserve">, </w:t>
      </w:r>
      <w:r w:rsidR="002613C1">
        <w:t>zeitnah</w:t>
      </w:r>
      <w:r w:rsidR="00073554">
        <w:t xml:space="preserve"> ergänz</w:t>
      </w:r>
      <w:r>
        <w:t>t werden</w:t>
      </w:r>
      <w:r w:rsidR="00073554">
        <w:t>.</w:t>
      </w:r>
      <w:r w:rsidR="002613C1">
        <w:t xml:space="preserve"> </w:t>
      </w:r>
    </w:p>
    <w:p w14:paraId="62AC1DA4" w14:textId="77777777" w:rsidR="000903BC" w:rsidRDefault="000903BC" w:rsidP="000903BC">
      <w:pPr>
        <w:pStyle w:val="KeinLeerraum"/>
      </w:pPr>
    </w:p>
    <w:p w14:paraId="16C1FA86" w14:textId="6009F54B" w:rsidR="00783B92" w:rsidRPr="00783B92" w:rsidRDefault="00FB1A70" w:rsidP="00783B92">
      <w:pPr>
        <w:pStyle w:val="berschrift1"/>
        <w:numPr>
          <w:ilvl w:val="0"/>
          <w:numId w:val="2"/>
        </w:numPr>
      </w:pPr>
      <w:bookmarkStart w:id="10" w:name="_Toc144730164"/>
      <w:r>
        <w:t>Änderungshistorie</w:t>
      </w:r>
      <w:bookmarkEnd w:id="1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3B92" w14:paraId="06F8F267" w14:textId="77777777" w:rsidTr="009C04E3">
        <w:tc>
          <w:tcPr>
            <w:tcW w:w="3020" w:type="dxa"/>
            <w:tcBorders>
              <w:top w:val="single" w:sz="4" w:space="0" w:color="auto"/>
            </w:tcBorders>
          </w:tcPr>
          <w:p w14:paraId="31449DD0" w14:textId="05B502C7" w:rsidR="00783B92" w:rsidRPr="009C04E3" w:rsidRDefault="00783B92" w:rsidP="00FB1A70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Version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670928" w14:textId="033D6276" w:rsidR="00783B92" w:rsidRPr="009C04E3" w:rsidRDefault="00783B92" w:rsidP="00FB1A70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Gültig ab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BD72024" w14:textId="3DD2CD0C" w:rsidR="00783B92" w:rsidRPr="009C04E3" w:rsidRDefault="00783B92" w:rsidP="00FB1A70">
            <w:pPr>
              <w:pStyle w:val="KeinLeerraum"/>
              <w:rPr>
                <w:b/>
                <w:bCs/>
              </w:rPr>
            </w:pPr>
            <w:r w:rsidRPr="009C04E3">
              <w:rPr>
                <w:b/>
                <w:bCs/>
              </w:rPr>
              <w:t>Änderungsgrund</w:t>
            </w:r>
          </w:p>
        </w:tc>
      </w:tr>
      <w:tr w:rsidR="00783B92" w14:paraId="0CB9E5C6" w14:textId="77777777" w:rsidTr="00783B92">
        <w:tc>
          <w:tcPr>
            <w:tcW w:w="3020" w:type="dxa"/>
          </w:tcPr>
          <w:p w14:paraId="17780D7F" w14:textId="458321F9" w:rsidR="00783B92" w:rsidRDefault="003C67ED" w:rsidP="00FB1A70">
            <w:pPr>
              <w:pStyle w:val="KeinLeerraum"/>
            </w:pPr>
            <w:r>
              <w:t>1.0</w:t>
            </w:r>
          </w:p>
        </w:tc>
        <w:tc>
          <w:tcPr>
            <w:tcW w:w="3021" w:type="dxa"/>
          </w:tcPr>
          <w:p w14:paraId="73AA7DD3" w14:textId="03B3A448" w:rsidR="00783B92" w:rsidRDefault="00783B92" w:rsidP="00FB1A70">
            <w:pPr>
              <w:pStyle w:val="KeinLeerraum"/>
            </w:pPr>
            <w:r>
              <w:t>19.09.2023</w:t>
            </w:r>
          </w:p>
        </w:tc>
        <w:tc>
          <w:tcPr>
            <w:tcW w:w="3021" w:type="dxa"/>
          </w:tcPr>
          <w:p w14:paraId="6EAA0CCC" w14:textId="2AC51190" w:rsidR="00783B92" w:rsidRDefault="00783B92" w:rsidP="00FB1A70">
            <w:pPr>
              <w:pStyle w:val="KeinLeerraum"/>
            </w:pPr>
            <w:r>
              <w:t>Neuerstellung</w:t>
            </w:r>
          </w:p>
        </w:tc>
      </w:tr>
      <w:tr w:rsidR="00783B92" w14:paraId="54AE7626" w14:textId="77777777" w:rsidTr="00783B92">
        <w:tc>
          <w:tcPr>
            <w:tcW w:w="3020" w:type="dxa"/>
          </w:tcPr>
          <w:p w14:paraId="52B0938D" w14:textId="52BB3382" w:rsidR="00783B92" w:rsidRDefault="00783B92" w:rsidP="00FB1A70">
            <w:pPr>
              <w:pStyle w:val="KeinLeerraum"/>
            </w:pPr>
          </w:p>
        </w:tc>
        <w:tc>
          <w:tcPr>
            <w:tcW w:w="3021" w:type="dxa"/>
          </w:tcPr>
          <w:p w14:paraId="5B197205" w14:textId="77777777" w:rsidR="00783B92" w:rsidRDefault="00783B92" w:rsidP="00FB1A70">
            <w:pPr>
              <w:pStyle w:val="KeinLeerraum"/>
            </w:pPr>
          </w:p>
        </w:tc>
        <w:tc>
          <w:tcPr>
            <w:tcW w:w="3021" w:type="dxa"/>
          </w:tcPr>
          <w:p w14:paraId="7A3815EF" w14:textId="77777777" w:rsidR="00783B92" w:rsidRDefault="00783B92" w:rsidP="00FB1A70">
            <w:pPr>
              <w:pStyle w:val="KeinLeerraum"/>
            </w:pPr>
          </w:p>
        </w:tc>
      </w:tr>
      <w:tr w:rsidR="00783B92" w14:paraId="52271D1D" w14:textId="77777777" w:rsidTr="00783B92">
        <w:tc>
          <w:tcPr>
            <w:tcW w:w="3020" w:type="dxa"/>
          </w:tcPr>
          <w:p w14:paraId="43F76140" w14:textId="72B3EB33" w:rsidR="00783B92" w:rsidRDefault="00783B92" w:rsidP="00FB1A70">
            <w:pPr>
              <w:pStyle w:val="KeinLeerraum"/>
            </w:pPr>
          </w:p>
        </w:tc>
        <w:tc>
          <w:tcPr>
            <w:tcW w:w="3021" w:type="dxa"/>
          </w:tcPr>
          <w:p w14:paraId="045ABF1A" w14:textId="77777777" w:rsidR="00783B92" w:rsidRDefault="00783B92" w:rsidP="00FB1A70">
            <w:pPr>
              <w:pStyle w:val="KeinLeerraum"/>
            </w:pPr>
          </w:p>
        </w:tc>
        <w:tc>
          <w:tcPr>
            <w:tcW w:w="3021" w:type="dxa"/>
          </w:tcPr>
          <w:p w14:paraId="2861FCAC" w14:textId="77777777" w:rsidR="00783B92" w:rsidRDefault="00783B92" w:rsidP="00FB1A70">
            <w:pPr>
              <w:pStyle w:val="KeinLeerraum"/>
            </w:pPr>
          </w:p>
        </w:tc>
      </w:tr>
    </w:tbl>
    <w:p w14:paraId="186062BA" w14:textId="77777777" w:rsidR="00FB1A70" w:rsidRPr="00FB1A70" w:rsidRDefault="00FB1A70" w:rsidP="00FB1A70">
      <w:pPr>
        <w:pStyle w:val="KeinLeerraum"/>
      </w:pPr>
    </w:p>
    <w:sectPr w:rsidR="00FB1A70" w:rsidRPr="00FB1A70" w:rsidSect="006D68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227D" w14:textId="77777777" w:rsidR="00701728" w:rsidRDefault="00701728" w:rsidP="00230CA7">
      <w:pPr>
        <w:spacing w:after="0" w:line="240" w:lineRule="auto"/>
      </w:pPr>
      <w:r>
        <w:separator/>
      </w:r>
    </w:p>
  </w:endnote>
  <w:endnote w:type="continuationSeparator" w:id="0">
    <w:p w14:paraId="279E6683" w14:textId="77777777" w:rsidR="00701728" w:rsidRDefault="00701728" w:rsidP="002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11DE" w14:textId="77777777" w:rsidR="000221E2" w:rsidRDefault="000221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4"/>
      <w:gridCol w:w="3255"/>
      <w:gridCol w:w="2189"/>
    </w:tblGrid>
    <w:tr w:rsidR="00385CE6" w14:paraId="45778376" w14:textId="77777777" w:rsidTr="000C2214">
      <w:trPr>
        <w:trHeight w:val="510"/>
        <w:jc w:val="center"/>
      </w:trPr>
      <w:tc>
        <w:tcPr>
          <w:tcW w:w="2182" w:type="pct"/>
          <w:shd w:val="clear" w:color="auto" w:fill="auto"/>
        </w:tcPr>
        <w:p w14:paraId="0A7E32DF" w14:textId="77777777" w:rsidR="00385CE6" w:rsidRPr="008D0A97" w:rsidRDefault="00385CE6" w:rsidP="00385CE6">
          <w:pPr>
            <w:rPr>
              <w:rFonts w:ascii="Calibri" w:hAnsi="Calibri"/>
            </w:rPr>
          </w:pPr>
          <w:r w:rsidRPr="008D0A97">
            <w:rPr>
              <w:rFonts w:ascii="Calibri" w:hAnsi="Calibri"/>
            </w:rPr>
            <w:t xml:space="preserve">Version: </w:t>
          </w:r>
          <w:r w:rsidRPr="00BC3105">
            <w:rPr>
              <w:rFonts w:ascii="Calibri" w:hAnsi="Calibri"/>
              <w:highlight w:val="yellow"/>
            </w:rPr>
            <w:t xml:space="preserve">anpassen und mit jedem Update erneut </w:t>
          </w:r>
          <w:r w:rsidRPr="00F01FDE">
            <w:rPr>
              <w:rFonts w:ascii="Calibri" w:hAnsi="Calibri"/>
              <w:highlight w:val="yellow"/>
            </w:rPr>
            <w:t>ändern und Datum ergänzen</w:t>
          </w:r>
          <w:r w:rsidRPr="008D0A97">
            <w:rPr>
              <w:rFonts w:ascii="Calibri" w:hAnsi="Calibri"/>
            </w:rPr>
            <w:br/>
            <w:t xml:space="preserve">Autoren: </w:t>
          </w:r>
          <w:r w:rsidRPr="00BC3105">
            <w:rPr>
              <w:rFonts w:ascii="Calibri" w:hAnsi="Calibri"/>
              <w:highlight w:val="yellow"/>
            </w:rPr>
            <w:t>den/die Autoren eintragen</w:t>
          </w:r>
        </w:p>
      </w:tc>
      <w:tc>
        <w:tcPr>
          <w:tcW w:w="1685" w:type="pct"/>
          <w:shd w:val="clear" w:color="auto" w:fill="auto"/>
          <w:vAlign w:val="bottom"/>
        </w:tcPr>
        <w:p w14:paraId="267238C1" w14:textId="77777777" w:rsidR="00385CE6" w:rsidRPr="00385CE6" w:rsidRDefault="00385CE6" w:rsidP="00385CE6">
          <w:pPr>
            <w:rPr>
              <w:rFonts w:ascii="Calibri" w:hAnsi="Calibri"/>
            </w:rPr>
          </w:pPr>
          <w:r w:rsidRPr="00385CE6">
            <w:rPr>
              <w:rFonts w:ascii="Calibri" w:hAnsi="Calibri"/>
            </w:rPr>
            <w:t xml:space="preserve">Gültig ab: </w:t>
          </w:r>
          <w:r w:rsidRPr="00385CE6">
            <w:rPr>
              <w:rFonts w:ascii="Calibri" w:hAnsi="Calibri"/>
              <w:highlight w:val="yellow"/>
            </w:rPr>
            <w:t>Freigabedatum eintragen</w:t>
          </w:r>
        </w:p>
        <w:p w14:paraId="06F8103F" w14:textId="77777777" w:rsidR="00385CE6" w:rsidRPr="00385CE6" w:rsidRDefault="00385CE6" w:rsidP="00385CE6">
          <w:pPr>
            <w:rPr>
              <w:rFonts w:ascii="Calibri" w:hAnsi="Calibri"/>
            </w:rPr>
          </w:pPr>
          <w:r w:rsidRPr="00385CE6">
            <w:rPr>
              <w:rFonts w:ascii="Calibri" w:hAnsi="Calibri"/>
            </w:rPr>
            <w:t xml:space="preserve">Freigabe durch: </w:t>
          </w:r>
          <w:r w:rsidRPr="007C15D0">
            <w:rPr>
              <w:rFonts w:ascii="Calibri" w:hAnsi="Calibri"/>
              <w:highlight w:val="yellow"/>
            </w:rPr>
            <w:t>ergänzen</w:t>
          </w:r>
        </w:p>
      </w:tc>
      <w:tc>
        <w:tcPr>
          <w:tcW w:w="1133" w:type="pct"/>
          <w:shd w:val="clear" w:color="auto" w:fill="auto"/>
          <w:vAlign w:val="bottom"/>
        </w:tcPr>
        <w:p w14:paraId="7593E2FA" w14:textId="77777777" w:rsidR="00385CE6" w:rsidRPr="00725B62" w:rsidRDefault="00385CE6" w:rsidP="00385CE6">
          <w:pPr>
            <w:rPr>
              <w:rFonts w:ascii="Calibri" w:hAnsi="Calibri"/>
              <w:lang w:val="en-US"/>
            </w:rPr>
          </w:pPr>
          <w:r w:rsidRPr="00725B62">
            <w:rPr>
              <w:rFonts w:ascii="Calibri" w:hAnsi="Calibri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  <w:r w:rsidRPr="00725B62">
            <w:rPr>
              <w:rFonts w:ascii="Calibri" w:hAnsi="Calibri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</w:p>
      </w:tc>
    </w:tr>
  </w:tbl>
  <w:p w14:paraId="1F3746E8" w14:textId="5E85FA66" w:rsidR="003F6FAC" w:rsidRDefault="003F6FAC" w:rsidP="00FD32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72B" w14:textId="77777777" w:rsidR="000221E2" w:rsidRDefault="000221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537F" w14:textId="77777777" w:rsidR="00701728" w:rsidRDefault="00701728" w:rsidP="00230CA7">
      <w:pPr>
        <w:spacing w:after="0" w:line="240" w:lineRule="auto"/>
      </w:pPr>
      <w:r>
        <w:separator/>
      </w:r>
    </w:p>
  </w:footnote>
  <w:footnote w:type="continuationSeparator" w:id="0">
    <w:p w14:paraId="0A23518C" w14:textId="77777777" w:rsidR="00701728" w:rsidRDefault="00701728" w:rsidP="0023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7217" w14:textId="010E9B3A" w:rsidR="00FD3222" w:rsidRDefault="00385CE6">
    <w:pPr>
      <w:pStyle w:val="Kopfzeile"/>
    </w:pPr>
    <w:r>
      <w:rPr>
        <w:noProof/>
      </w:rPr>
      <w:pict w14:anchorId="011E43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96688" o:spid="_x0000_s1026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 GB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FD3222" w14:paraId="3A79A156" w14:textId="77777777" w:rsidTr="00FD3222">
      <w:tc>
        <w:tcPr>
          <w:tcW w:w="936" w:type="pct"/>
          <w:vMerge w:val="restart"/>
        </w:tcPr>
        <w:p w14:paraId="3489B583" w14:textId="77777777" w:rsidR="00FD3222" w:rsidRPr="00BC3105" w:rsidRDefault="00FD3222" w:rsidP="00FD3222">
          <w:pPr>
            <w:jc w:val="center"/>
            <w:rPr>
              <w:rFonts w:asciiTheme="minorHAnsi" w:hAnsiTheme="minorHAnsi" w:cstheme="minorHAnsi"/>
              <w:b/>
            </w:rPr>
          </w:pPr>
          <w:r w:rsidRPr="00BC3105">
            <w:rPr>
              <w:rFonts w:asciiTheme="minorHAnsi" w:hAnsiTheme="minorHAnsi" w:cstheme="minorHAnsi"/>
              <w:noProof/>
              <w:highlight w:val="yellow"/>
            </w:rPr>
            <w:t>Studienlogo einfügen wenn studienspez., ansonsten Site-Logo</w:t>
          </w:r>
        </w:p>
      </w:tc>
      <w:tc>
        <w:tcPr>
          <w:tcW w:w="4064" w:type="pct"/>
          <w:shd w:val="clear" w:color="auto" w:fill="auto"/>
          <w:vAlign w:val="center"/>
        </w:tcPr>
        <w:p w14:paraId="2205256E" w14:textId="77777777" w:rsidR="00FD3222" w:rsidRPr="00BC3105" w:rsidRDefault="00FD3222" w:rsidP="00FD3222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C3105">
            <w:rPr>
              <w:rFonts w:asciiTheme="minorHAnsi" w:hAnsiTheme="minorHAnsi" w:cstheme="minorHAnsi"/>
              <w:b/>
              <w:sz w:val="28"/>
              <w:szCs w:val="28"/>
            </w:rPr>
            <w:t>SOP</w:t>
          </w:r>
        </w:p>
      </w:tc>
    </w:tr>
    <w:tr w:rsidR="00FD3222" w14:paraId="62B77290" w14:textId="77777777" w:rsidTr="00FD3222">
      <w:tc>
        <w:tcPr>
          <w:tcW w:w="936" w:type="pct"/>
          <w:vMerge/>
        </w:tcPr>
        <w:p w14:paraId="672F38CE" w14:textId="77777777" w:rsidR="00FD3222" w:rsidRPr="00EA3A34" w:rsidRDefault="00FD3222" w:rsidP="00FD322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4064" w:type="pct"/>
          <w:shd w:val="clear" w:color="auto" w:fill="auto"/>
          <w:vAlign w:val="center"/>
        </w:tcPr>
        <w:p w14:paraId="19A32B80" w14:textId="03D3D72A" w:rsidR="00FD3222" w:rsidRPr="00BC3105" w:rsidRDefault="00FD3222" w:rsidP="00FD3222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BC3105">
            <w:rPr>
              <w:rFonts w:asciiTheme="minorHAnsi" w:hAnsiTheme="minorHAnsi" w:cstheme="minorHAnsi"/>
              <w:b/>
            </w:rPr>
            <w:fldChar w:fldCharType="begin"/>
          </w:r>
          <w:r w:rsidRPr="00BC3105">
            <w:rPr>
              <w:rFonts w:asciiTheme="minorHAnsi" w:hAnsiTheme="minorHAnsi" w:cstheme="minorHAnsi"/>
              <w:b/>
            </w:rPr>
            <w:instrText xml:space="preserve"> DOCVARIABLE CS.ID.13 \* MERGEFORMAT </w:instrText>
          </w:r>
          <w:r w:rsidRPr="00BC3105">
            <w:rPr>
              <w:rFonts w:asciiTheme="minorHAnsi" w:hAnsiTheme="minorHAnsi" w:cstheme="minorHAnsi"/>
              <w:b/>
            </w:rPr>
            <w:fldChar w:fldCharType="separate"/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>Meldung von AEs und SAEs</w:t>
          </w:r>
        </w:p>
        <w:p w14:paraId="23C8A039" w14:textId="77777777" w:rsidR="00FD3222" w:rsidRPr="00BC3105" w:rsidRDefault="00FD3222" w:rsidP="00FD3222">
          <w:pPr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C3105">
            <w:rPr>
              <w:rFonts w:asciiTheme="minorHAnsi" w:hAnsiTheme="minorHAnsi" w:cstheme="minorHAnsi"/>
              <w:b/>
            </w:rPr>
            <w:fldChar w:fldCharType="end"/>
          </w:r>
          <w:r w:rsidRPr="00BC3105">
            <w:rPr>
              <w:rFonts w:asciiTheme="minorHAnsi" w:hAnsiTheme="minorHAnsi" w:cstheme="minorHAnsi"/>
              <w:b/>
            </w:rPr>
            <w:t xml:space="preserve"> </w:t>
          </w:r>
          <w:r w:rsidRPr="00BC3105">
            <w:rPr>
              <w:rFonts w:asciiTheme="minorHAnsi" w:hAnsiTheme="minorHAnsi" w:cstheme="minorHAnsi"/>
              <w:b/>
              <w:sz w:val="18"/>
              <w:szCs w:val="18"/>
            </w:rPr>
            <w:t>CONFIDENTIAL</w:t>
          </w:r>
        </w:p>
      </w:tc>
    </w:tr>
  </w:tbl>
  <w:p w14:paraId="51DD5EC6" w14:textId="58062128" w:rsidR="00FD3222" w:rsidRPr="008852CE" w:rsidRDefault="00385CE6" w:rsidP="008852CE">
    <w:pPr>
      <w:pStyle w:val="Kopfzeile"/>
      <w:ind w:firstLine="3540"/>
      <w:rPr>
        <w:noProof/>
      </w:rPr>
    </w:pPr>
    <w:r>
      <w:rPr>
        <w:noProof/>
      </w:rPr>
      <w:pict w14:anchorId="18CEF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96689" o:spid="_x0000_s1027" type="#_x0000_t136" style="position:absolute;left:0;text-align:left;margin-left:0;margin-top:0;width:554.25pt;height:8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 GB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183" w14:textId="76DE4218" w:rsidR="00FD3222" w:rsidRDefault="00385CE6">
    <w:pPr>
      <w:pStyle w:val="Kopfzeile"/>
    </w:pPr>
    <w:r>
      <w:rPr>
        <w:noProof/>
      </w:rPr>
      <w:pict w14:anchorId="088BD1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96687" o:spid="_x0000_s1025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 GB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8B2"/>
    <w:multiLevelType w:val="hybridMultilevel"/>
    <w:tmpl w:val="4D96E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DE7"/>
    <w:multiLevelType w:val="hybridMultilevel"/>
    <w:tmpl w:val="84D43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291"/>
    <w:multiLevelType w:val="hybridMultilevel"/>
    <w:tmpl w:val="1F8CA4FC"/>
    <w:lvl w:ilvl="0" w:tplc="ED40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C0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0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E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69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86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C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6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29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035FD"/>
    <w:multiLevelType w:val="multilevel"/>
    <w:tmpl w:val="75966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34B3FB4"/>
    <w:multiLevelType w:val="hybridMultilevel"/>
    <w:tmpl w:val="2A929B34"/>
    <w:lvl w:ilvl="0" w:tplc="8B40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4F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A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83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CD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0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0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E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484BB9"/>
    <w:multiLevelType w:val="hybridMultilevel"/>
    <w:tmpl w:val="5F1C4426"/>
    <w:lvl w:ilvl="0" w:tplc="C28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A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C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EF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8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0D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8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86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F4225F"/>
    <w:multiLevelType w:val="multilevel"/>
    <w:tmpl w:val="993AF2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416208"/>
    <w:multiLevelType w:val="hybridMultilevel"/>
    <w:tmpl w:val="44C21BEC"/>
    <w:lvl w:ilvl="0" w:tplc="83306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A7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E0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8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4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EF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8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7C24F6"/>
    <w:multiLevelType w:val="hybridMultilevel"/>
    <w:tmpl w:val="EF08C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6B1D"/>
    <w:multiLevelType w:val="hybridMultilevel"/>
    <w:tmpl w:val="50E6E70C"/>
    <w:lvl w:ilvl="0" w:tplc="624670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59652">
    <w:abstractNumId w:val="8"/>
  </w:num>
  <w:num w:numId="2" w16cid:durableId="613483150">
    <w:abstractNumId w:val="3"/>
  </w:num>
  <w:num w:numId="3" w16cid:durableId="26833929">
    <w:abstractNumId w:val="1"/>
  </w:num>
  <w:num w:numId="4" w16cid:durableId="969868335">
    <w:abstractNumId w:val="0"/>
  </w:num>
  <w:num w:numId="5" w16cid:durableId="1896234241">
    <w:abstractNumId w:val="6"/>
  </w:num>
  <w:num w:numId="6" w16cid:durableId="949433488">
    <w:abstractNumId w:val="9"/>
  </w:num>
  <w:num w:numId="7" w16cid:durableId="1100183614">
    <w:abstractNumId w:val="7"/>
  </w:num>
  <w:num w:numId="8" w16cid:durableId="770516565">
    <w:abstractNumId w:val="5"/>
  </w:num>
  <w:num w:numId="9" w16cid:durableId="181433152">
    <w:abstractNumId w:val="4"/>
  </w:num>
  <w:num w:numId="10" w16cid:durableId="7995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BC"/>
    <w:rsid w:val="0000268B"/>
    <w:rsid w:val="000221E2"/>
    <w:rsid w:val="00063644"/>
    <w:rsid w:val="00065603"/>
    <w:rsid w:val="000660C5"/>
    <w:rsid w:val="00073554"/>
    <w:rsid w:val="000903BC"/>
    <w:rsid w:val="000A292D"/>
    <w:rsid w:val="000B23E8"/>
    <w:rsid w:val="000E670D"/>
    <w:rsid w:val="000F78B8"/>
    <w:rsid w:val="00120A11"/>
    <w:rsid w:val="00131CB4"/>
    <w:rsid w:val="00145B7B"/>
    <w:rsid w:val="00170C47"/>
    <w:rsid w:val="001A3CFB"/>
    <w:rsid w:val="001A64DC"/>
    <w:rsid w:val="001B061E"/>
    <w:rsid w:val="001B7F18"/>
    <w:rsid w:val="001C4452"/>
    <w:rsid w:val="001D3296"/>
    <w:rsid w:val="001D7E53"/>
    <w:rsid w:val="001F1BB2"/>
    <w:rsid w:val="00215A59"/>
    <w:rsid w:val="00223BD3"/>
    <w:rsid w:val="00230CA7"/>
    <w:rsid w:val="00246F1C"/>
    <w:rsid w:val="002613C1"/>
    <w:rsid w:val="00262C6D"/>
    <w:rsid w:val="002642D2"/>
    <w:rsid w:val="00266E87"/>
    <w:rsid w:val="00266F91"/>
    <w:rsid w:val="0027614E"/>
    <w:rsid w:val="002A6CE1"/>
    <w:rsid w:val="002B2EAF"/>
    <w:rsid w:val="002C08E1"/>
    <w:rsid w:val="002E2B1A"/>
    <w:rsid w:val="00320026"/>
    <w:rsid w:val="003304D5"/>
    <w:rsid w:val="00330783"/>
    <w:rsid w:val="0037771F"/>
    <w:rsid w:val="00385BF5"/>
    <w:rsid w:val="00385CE6"/>
    <w:rsid w:val="00390539"/>
    <w:rsid w:val="00397C3D"/>
    <w:rsid w:val="003B1906"/>
    <w:rsid w:val="003C3217"/>
    <w:rsid w:val="003C67ED"/>
    <w:rsid w:val="003D3A0B"/>
    <w:rsid w:val="003F6FAC"/>
    <w:rsid w:val="00421A9A"/>
    <w:rsid w:val="00426156"/>
    <w:rsid w:val="00442643"/>
    <w:rsid w:val="004438DA"/>
    <w:rsid w:val="00461319"/>
    <w:rsid w:val="00474D4D"/>
    <w:rsid w:val="004A56C2"/>
    <w:rsid w:val="004C0099"/>
    <w:rsid w:val="004C319D"/>
    <w:rsid w:val="004D0CB6"/>
    <w:rsid w:val="004D4CDD"/>
    <w:rsid w:val="004E0037"/>
    <w:rsid w:val="004F4CD0"/>
    <w:rsid w:val="00500021"/>
    <w:rsid w:val="0050703F"/>
    <w:rsid w:val="0054784A"/>
    <w:rsid w:val="00555C25"/>
    <w:rsid w:val="00572BBF"/>
    <w:rsid w:val="005764C7"/>
    <w:rsid w:val="00585B98"/>
    <w:rsid w:val="005942FC"/>
    <w:rsid w:val="005C730D"/>
    <w:rsid w:val="005D6589"/>
    <w:rsid w:val="005F7E54"/>
    <w:rsid w:val="006253F1"/>
    <w:rsid w:val="00652810"/>
    <w:rsid w:val="00696E69"/>
    <w:rsid w:val="006C1AA7"/>
    <w:rsid w:val="006C1C4F"/>
    <w:rsid w:val="006C3215"/>
    <w:rsid w:val="006C7A4E"/>
    <w:rsid w:val="006D68A8"/>
    <w:rsid w:val="006E55CE"/>
    <w:rsid w:val="00701728"/>
    <w:rsid w:val="00716881"/>
    <w:rsid w:val="007203CA"/>
    <w:rsid w:val="00725FB8"/>
    <w:rsid w:val="0075083A"/>
    <w:rsid w:val="00783B92"/>
    <w:rsid w:val="00792E1C"/>
    <w:rsid w:val="007938DD"/>
    <w:rsid w:val="007B0738"/>
    <w:rsid w:val="007B5D5D"/>
    <w:rsid w:val="007D2120"/>
    <w:rsid w:val="007D6212"/>
    <w:rsid w:val="007D6E75"/>
    <w:rsid w:val="00807ECF"/>
    <w:rsid w:val="00833461"/>
    <w:rsid w:val="00834DB3"/>
    <w:rsid w:val="008852CE"/>
    <w:rsid w:val="008E7AF3"/>
    <w:rsid w:val="008F2F01"/>
    <w:rsid w:val="009507F2"/>
    <w:rsid w:val="00956795"/>
    <w:rsid w:val="00987BDE"/>
    <w:rsid w:val="00992BAF"/>
    <w:rsid w:val="00997AD5"/>
    <w:rsid w:val="009A5D82"/>
    <w:rsid w:val="009C04E3"/>
    <w:rsid w:val="009C1CC5"/>
    <w:rsid w:val="009E1698"/>
    <w:rsid w:val="009F1551"/>
    <w:rsid w:val="00A067E9"/>
    <w:rsid w:val="00A172AF"/>
    <w:rsid w:val="00A21F05"/>
    <w:rsid w:val="00A35C69"/>
    <w:rsid w:val="00A510B2"/>
    <w:rsid w:val="00A71EB3"/>
    <w:rsid w:val="00A96D3B"/>
    <w:rsid w:val="00AB3582"/>
    <w:rsid w:val="00AB5E88"/>
    <w:rsid w:val="00AD4429"/>
    <w:rsid w:val="00B04ACE"/>
    <w:rsid w:val="00B07F01"/>
    <w:rsid w:val="00B14AE1"/>
    <w:rsid w:val="00B40BAA"/>
    <w:rsid w:val="00B502EA"/>
    <w:rsid w:val="00B64F02"/>
    <w:rsid w:val="00B674E0"/>
    <w:rsid w:val="00BA74F2"/>
    <w:rsid w:val="00BA7754"/>
    <w:rsid w:val="00BC3A7E"/>
    <w:rsid w:val="00BC4239"/>
    <w:rsid w:val="00BF1937"/>
    <w:rsid w:val="00C131EF"/>
    <w:rsid w:val="00C42CDB"/>
    <w:rsid w:val="00C50CAE"/>
    <w:rsid w:val="00C56EAC"/>
    <w:rsid w:val="00C64486"/>
    <w:rsid w:val="00C65FEF"/>
    <w:rsid w:val="00C86597"/>
    <w:rsid w:val="00CA2671"/>
    <w:rsid w:val="00CA3195"/>
    <w:rsid w:val="00CD5126"/>
    <w:rsid w:val="00CE229B"/>
    <w:rsid w:val="00D02923"/>
    <w:rsid w:val="00D36FB6"/>
    <w:rsid w:val="00D478FB"/>
    <w:rsid w:val="00D5077A"/>
    <w:rsid w:val="00D53CC5"/>
    <w:rsid w:val="00D63915"/>
    <w:rsid w:val="00D67A38"/>
    <w:rsid w:val="00D82871"/>
    <w:rsid w:val="00D95386"/>
    <w:rsid w:val="00DB38E1"/>
    <w:rsid w:val="00DC4B3E"/>
    <w:rsid w:val="00DD0998"/>
    <w:rsid w:val="00DD4443"/>
    <w:rsid w:val="00DF3AE6"/>
    <w:rsid w:val="00DF4BA9"/>
    <w:rsid w:val="00E01374"/>
    <w:rsid w:val="00E04BF1"/>
    <w:rsid w:val="00E16767"/>
    <w:rsid w:val="00E204D3"/>
    <w:rsid w:val="00E3482F"/>
    <w:rsid w:val="00E34A95"/>
    <w:rsid w:val="00E36867"/>
    <w:rsid w:val="00E57131"/>
    <w:rsid w:val="00E768A9"/>
    <w:rsid w:val="00E85EE3"/>
    <w:rsid w:val="00E91B2D"/>
    <w:rsid w:val="00E9384B"/>
    <w:rsid w:val="00EB17D2"/>
    <w:rsid w:val="00EB61A1"/>
    <w:rsid w:val="00EC6F13"/>
    <w:rsid w:val="00ED0071"/>
    <w:rsid w:val="00ED3645"/>
    <w:rsid w:val="00F05581"/>
    <w:rsid w:val="00F10F02"/>
    <w:rsid w:val="00F1613B"/>
    <w:rsid w:val="00F43C9A"/>
    <w:rsid w:val="00F541B9"/>
    <w:rsid w:val="00F81257"/>
    <w:rsid w:val="00FA49B0"/>
    <w:rsid w:val="00FB1A70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13DF2"/>
  <w15:chartTrackingRefBased/>
  <w15:docId w15:val="{A93AF5D6-3671-442F-A679-3C86801A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u w:color="000000" w:themeColor="text1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chn"/>
    <w:uiPriority w:val="9"/>
    <w:qFormat/>
    <w:rsid w:val="000903BC"/>
    <w:pPr>
      <w:outlineLvl w:val="0"/>
    </w:pPr>
    <w:rPr>
      <w:b/>
      <w:sz w:val="24"/>
    </w:rPr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0903B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"/>
    <w:uiPriority w:val="1"/>
    <w:qFormat/>
    <w:rsid w:val="000903BC"/>
    <w:pPr>
      <w:spacing w:after="0" w:line="240" w:lineRule="auto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03BC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03BC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CA7"/>
  </w:style>
  <w:style w:type="paragraph" w:styleId="Fuzeile">
    <w:name w:val="footer"/>
    <w:basedOn w:val="Standard"/>
    <w:link w:val="FuzeileZchn"/>
    <w:uiPriority w:val="99"/>
    <w:unhideWhenUsed/>
    <w:rsid w:val="0023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CA7"/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7203CA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kern w:val="0"/>
      <w:szCs w:val="32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F8125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8125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81257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3CA"/>
    <w:pPr>
      <w:spacing w:after="100"/>
      <w:ind w:left="440"/>
    </w:pPr>
    <w:rPr>
      <w:rFonts w:eastAsiaTheme="minorEastAsia" w:cs="Times New Roman"/>
      <w:kern w:val="0"/>
      <w:lang w:eastAsia="de-DE"/>
      <w14:ligatures w14:val="none"/>
    </w:rPr>
  </w:style>
  <w:style w:type="paragraph" w:customStyle="1" w:styleId="SOP">
    <w:name w:val="SOP"/>
    <w:basedOn w:val="Inhaltsverzeichnisberschrift"/>
    <w:link w:val="SOPZchn"/>
    <w:autoRedefine/>
    <w:qFormat/>
    <w:rsid w:val="0037771F"/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7203CA"/>
    <w:rPr>
      <w:rFonts w:ascii="Arial" w:eastAsiaTheme="majorEastAsia" w:hAnsi="Arial" w:cstheme="majorBidi"/>
      <w:b/>
      <w:kern w:val="0"/>
      <w:sz w:val="24"/>
      <w:szCs w:val="32"/>
      <w:lang w:eastAsia="de-DE"/>
      <w14:ligatures w14:val="none"/>
    </w:rPr>
  </w:style>
  <w:style w:type="character" w:customStyle="1" w:styleId="SOPZchn">
    <w:name w:val="SOP Zchn"/>
    <w:basedOn w:val="InhaltsverzeichnisberschriftZchn"/>
    <w:link w:val="SOP"/>
    <w:rsid w:val="0037771F"/>
    <w:rPr>
      <w:rFonts w:ascii="Arial" w:eastAsiaTheme="majorEastAsia" w:hAnsi="Arial" w:cstheme="majorBidi"/>
      <w:b/>
      <w:kern w:val="0"/>
      <w:sz w:val="24"/>
      <w:szCs w:val="32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78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56EAC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ro.de/enzyklopaedie/klinische-studi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a.europa.eu/en/documents/scientific-guideline/ich-e-6-r2-guideline-good-clinical-practice-step-5_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cro.de/enzyklopaedie/pruefpraepara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9C2F-14D9-4D2A-9A5B-770A3EA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Judith</dc:creator>
  <cp:keywords/>
  <dc:description/>
  <cp:lastModifiedBy>Covic, Ana</cp:lastModifiedBy>
  <cp:revision>22</cp:revision>
  <dcterms:created xsi:type="dcterms:W3CDTF">2023-09-04T12:01:00Z</dcterms:created>
  <dcterms:modified xsi:type="dcterms:W3CDTF">2023-10-09T09:04:00Z</dcterms:modified>
</cp:coreProperties>
</file>